
<file path=[Content_Types].xml><?xml version="1.0" encoding="utf-8"?>
<Types xmlns="http://schemas.openxmlformats.org/package/2006/content-types">
  <Default Extension="tmp" ContentType="image/png"/>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789299" w14:textId="5E1D3011" w:rsidR="00C04A9D" w:rsidRDefault="00A634D9" w:rsidP="00A634D9">
      <w:pPr>
        <w:jc w:val="center"/>
        <w:rPr>
          <w:rFonts w:asciiTheme="majorEastAsia" w:eastAsiaTheme="majorEastAsia" w:hAnsiTheme="majorEastAsia"/>
          <w:sz w:val="24"/>
          <w:szCs w:val="24"/>
        </w:rPr>
      </w:pPr>
      <w:r>
        <w:rPr>
          <w:rFonts w:asciiTheme="majorEastAsia" w:eastAsiaTheme="majorEastAsia" w:hAnsiTheme="majorEastAsia"/>
          <w:sz w:val="24"/>
          <w:szCs w:val="24"/>
        </w:rPr>
        <w:t>消費税のインボイス制度</w:t>
      </w:r>
      <w:r w:rsidR="004F1A9F">
        <w:rPr>
          <w:rFonts w:asciiTheme="majorEastAsia" w:eastAsiaTheme="majorEastAsia" w:hAnsiTheme="majorEastAsia" w:hint="eastAsia"/>
          <w:sz w:val="24"/>
          <w:szCs w:val="24"/>
        </w:rPr>
        <w:t>への対応について</w:t>
      </w:r>
    </w:p>
    <w:p w14:paraId="6B9CCE6C" w14:textId="77777777" w:rsidR="00AE4057" w:rsidRDefault="00AE4057" w:rsidP="008713AA">
      <w:pPr>
        <w:rPr>
          <w:rFonts w:asciiTheme="majorEastAsia" w:eastAsiaTheme="majorEastAsia" w:hAnsiTheme="majorEastAsia"/>
          <w:sz w:val="24"/>
          <w:szCs w:val="24"/>
        </w:rPr>
      </w:pPr>
    </w:p>
    <w:p w14:paraId="4F71C601" w14:textId="77777777" w:rsidR="00596E8C" w:rsidRDefault="00851C2B" w:rsidP="00596E8C">
      <w:pPr>
        <w:rPr>
          <w:rFonts w:asciiTheme="majorEastAsia" w:eastAsiaTheme="majorEastAsia" w:hAnsiTheme="majorEastAsia"/>
          <w:sz w:val="24"/>
          <w:szCs w:val="24"/>
        </w:rPr>
      </w:pPr>
      <w:r>
        <w:rPr>
          <w:rFonts w:asciiTheme="majorEastAsia" w:eastAsiaTheme="majorEastAsia" w:hAnsiTheme="majorEastAsia" w:hint="eastAsia"/>
          <w:sz w:val="24"/>
          <w:szCs w:val="24"/>
        </w:rPr>
        <w:t>１　インボイス制度</w:t>
      </w:r>
      <w:r w:rsidR="00D463CF">
        <w:rPr>
          <w:rFonts w:asciiTheme="majorEastAsia" w:eastAsiaTheme="majorEastAsia" w:hAnsiTheme="majorEastAsia" w:hint="eastAsia"/>
          <w:sz w:val="24"/>
          <w:szCs w:val="24"/>
        </w:rPr>
        <w:t>（適格請求書等保存方式）</w:t>
      </w:r>
      <w:r w:rsidR="00FD69E0">
        <w:rPr>
          <w:rFonts w:asciiTheme="majorEastAsia" w:eastAsiaTheme="majorEastAsia" w:hAnsiTheme="majorEastAsia" w:hint="eastAsia"/>
          <w:sz w:val="24"/>
          <w:szCs w:val="24"/>
        </w:rPr>
        <w:t>の概要</w:t>
      </w:r>
      <w:r w:rsidR="00C273DD">
        <w:rPr>
          <w:rFonts w:asciiTheme="majorEastAsia" w:eastAsiaTheme="majorEastAsia" w:hAnsiTheme="majorEastAsia" w:hint="eastAsia"/>
          <w:sz w:val="24"/>
          <w:szCs w:val="24"/>
        </w:rPr>
        <w:t>等</w:t>
      </w:r>
    </w:p>
    <w:p w14:paraId="5D4B95F3" w14:textId="194904B4" w:rsidR="00596E8C" w:rsidRDefault="00684AE9" w:rsidP="00596E8C">
      <w:pPr>
        <w:ind w:leftChars="100" w:left="210" w:firstLineChars="100" w:firstLine="240"/>
        <w:rPr>
          <w:rFonts w:asciiTheme="majorEastAsia" w:eastAsiaTheme="majorEastAsia" w:hAnsiTheme="majorEastAsia"/>
          <w:sz w:val="24"/>
          <w:szCs w:val="24"/>
        </w:rPr>
      </w:pPr>
      <w:r>
        <w:rPr>
          <w:rFonts w:asciiTheme="majorEastAsia" w:eastAsiaTheme="majorEastAsia" w:hAnsiTheme="majorEastAsia"/>
          <w:sz w:val="24"/>
          <w:szCs w:val="24"/>
        </w:rPr>
        <w:t>インボイス制度</w:t>
      </w:r>
      <w:r w:rsidR="003633E5">
        <w:rPr>
          <w:rFonts w:asciiTheme="majorEastAsia" w:eastAsiaTheme="majorEastAsia" w:hAnsiTheme="majorEastAsia"/>
          <w:sz w:val="24"/>
          <w:szCs w:val="24"/>
        </w:rPr>
        <w:t>は、</w:t>
      </w:r>
      <w:r w:rsidR="0031201F">
        <w:rPr>
          <w:rFonts w:asciiTheme="majorEastAsia" w:eastAsiaTheme="majorEastAsia" w:hAnsiTheme="majorEastAsia" w:hint="eastAsia"/>
          <w:sz w:val="24"/>
          <w:szCs w:val="24"/>
        </w:rPr>
        <w:t>本年10月から始まる</w:t>
      </w:r>
      <w:r w:rsidR="003633E5">
        <w:rPr>
          <w:rFonts w:asciiTheme="majorEastAsia" w:eastAsiaTheme="majorEastAsia" w:hAnsiTheme="majorEastAsia"/>
          <w:sz w:val="24"/>
          <w:szCs w:val="24"/>
        </w:rPr>
        <w:t>複数税率に対応した仕入税額控除の方式であり、</w:t>
      </w:r>
      <w:r w:rsidR="00C273DD" w:rsidRPr="00C273DD">
        <w:rPr>
          <w:rFonts w:asciiTheme="majorEastAsia" w:eastAsiaTheme="majorEastAsia" w:hAnsiTheme="majorEastAsia" w:hint="eastAsia"/>
          <w:sz w:val="24"/>
          <w:szCs w:val="21"/>
        </w:rPr>
        <w:t>インボイス制度の</w:t>
      </w:r>
      <w:r w:rsidR="001D7A8F">
        <w:rPr>
          <w:rFonts w:asciiTheme="majorEastAsia" w:eastAsiaTheme="majorEastAsia" w:hAnsiTheme="majorEastAsia" w:hint="eastAsia"/>
          <w:sz w:val="24"/>
          <w:szCs w:val="21"/>
        </w:rPr>
        <w:t>下</w:t>
      </w:r>
      <w:r w:rsidR="00C273DD" w:rsidRPr="00C273DD">
        <w:rPr>
          <w:rFonts w:asciiTheme="majorEastAsia" w:eastAsiaTheme="majorEastAsia" w:hAnsiTheme="majorEastAsia" w:hint="eastAsia"/>
          <w:sz w:val="24"/>
          <w:szCs w:val="21"/>
        </w:rPr>
        <w:t>では、仕入税額控除の適用を受けるためには、帳簿のほか「インボイス」の保存が必要となります</w:t>
      </w:r>
      <w:r w:rsidR="00D33FF7">
        <w:rPr>
          <w:rFonts w:asciiTheme="majorEastAsia" w:eastAsiaTheme="majorEastAsia" w:hAnsiTheme="majorEastAsia" w:hint="eastAsia"/>
          <w:sz w:val="24"/>
          <w:szCs w:val="21"/>
        </w:rPr>
        <w:t>（図１）</w:t>
      </w:r>
      <w:r w:rsidR="00C273DD" w:rsidRPr="00C273DD">
        <w:rPr>
          <w:rFonts w:asciiTheme="majorEastAsia" w:eastAsiaTheme="majorEastAsia" w:hAnsiTheme="majorEastAsia" w:hint="eastAsia"/>
          <w:sz w:val="24"/>
          <w:szCs w:val="21"/>
        </w:rPr>
        <w:t>。</w:t>
      </w:r>
    </w:p>
    <w:p w14:paraId="6A8BC8C2" w14:textId="1CF15918" w:rsidR="002D0E04" w:rsidRDefault="00C273DD" w:rsidP="00596E8C">
      <w:pPr>
        <w:ind w:leftChars="100" w:left="210" w:firstLineChars="100" w:firstLine="240"/>
        <w:rPr>
          <w:rFonts w:asciiTheme="majorEastAsia" w:eastAsiaTheme="majorEastAsia" w:hAnsiTheme="majorEastAsia"/>
          <w:sz w:val="24"/>
          <w:szCs w:val="24"/>
        </w:rPr>
      </w:pPr>
      <w:r w:rsidRPr="00C273DD">
        <w:rPr>
          <w:rFonts w:asciiTheme="majorEastAsia" w:eastAsiaTheme="majorEastAsia" w:hAnsiTheme="majorEastAsia" w:hint="eastAsia"/>
          <w:noProof/>
          <w:sz w:val="24"/>
          <w:szCs w:val="24"/>
        </w:rPr>
        <w:t>インボイスとは、売手が買手のために正確な適用税率や消費税額等を伝える手段であり、登録番号のほか、一定の事項が記載された請求書</w:t>
      </w:r>
      <w:r w:rsidR="00675D34">
        <w:rPr>
          <w:rFonts w:asciiTheme="majorEastAsia" w:eastAsiaTheme="majorEastAsia" w:hAnsiTheme="majorEastAsia" w:hint="eastAsia"/>
          <w:noProof/>
          <w:sz w:val="24"/>
          <w:szCs w:val="24"/>
        </w:rPr>
        <w:t>など</w:t>
      </w:r>
      <w:r w:rsidRPr="00C273DD">
        <w:rPr>
          <w:rFonts w:asciiTheme="majorEastAsia" w:eastAsiaTheme="majorEastAsia" w:hAnsiTheme="majorEastAsia" w:hint="eastAsia"/>
          <w:noProof/>
          <w:sz w:val="24"/>
          <w:szCs w:val="24"/>
        </w:rPr>
        <w:t>をいいます</w:t>
      </w:r>
      <w:r w:rsidR="00322C9D">
        <w:rPr>
          <w:rFonts w:asciiTheme="majorEastAsia" w:eastAsiaTheme="majorEastAsia" w:hAnsiTheme="majorEastAsia" w:hint="eastAsia"/>
          <w:sz w:val="24"/>
          <w:szCs w:val="24"/>
        </w:rPr>
        <w:t>。</w:t>
      </w:r>
    </w:p>
    <w:p w14:paraId="1C11F91F" w14:textId="77777777" w:rsidR="00D13F01" w:rsidRDefault="00D13F01" w:rsidP="00245F5F">
      <w:pPr>
        <w:jc w:val="left"/>
        <w:rPr>
          <w:rFonts w:asciiTheme="majorEastAsia" w:eastAsiaTheme="majorEastAsia" w:hAnsiTheme="majorEastAsia"/>
          <w:sz w:val="24"/>
          <w:szCs w:val="24"/>
        </w:rPr>
      </w:pPr>
    </w:p>
    <w:p w14:paraId="4AB7348E" w14:textId="2D4E29C8" w:rsidR="00617C91" w:rsidRDefault="00E1147D" w:rsidP="00245F5F">
      <w:pPr>
        <w:jc w:val="left"/>
        <w:rPr>
          <w:rFonts w:asciiTheme="majorEastAsia" w:eastAsiaTheme="majorEastAsia" w:hAnsiTheme="majorEastAsia"/>
          <w:noProof/>
          <w:sz w:val="24"/>
          <w:szCs w:val="24"/>
        </w:rPr>
      </w:pPr>
      <w:r>
        <w:rPr>
          <w:rFonts w:asciiTheme="majorEastAsia" w:eastAsiaTheme="majorEastAsia" w:hAnsiTheme="majorEastAsia"/>
          <w:sz w:val="24"/>
          <w:szCs w:val="24"/>
        </w:rPr>
        <w:t>（図</w:t>
      </w:r>
      <w:r w:rsidR="00617C91">
        <w:rPr>
          <w:rFonts w:asciiTheme="majorEastAsia" w:eastAsiaTheme="majorEastAsia" w:hAnsiTheme="majorEastAsia"/>
          <w:sz w:val="24"/>
          <w:szCs w:val="24"/>
        </w:rPr>
        <w:t>１</w:t>
      </w:r>
      <w:r>
        <w:rPr>
          <w:rFonts w:asciiTheme="majorEastAsia" w:eastAsiaTheme="majorEastAsia" w:hAnsiTheme="majorEastAsia"/>
          <w:sz w:val="24"/>
          <w:szCs w:val="24"/>
        </w:rPr>
        <w:t>）</w:t>
      </w:r>
      <w:r w:rsidR="00A4465B">
        <w:rPr>
          <w:rFonts w:asciiTheme="majorEastAsia" w:eastAsiaTheme="majorEastAsia" w:hAnsiTheme="majorEastAsia"/>
          <w:sz w:val="24"/>
          <w:szCs w:val="24"/>
        </w:rPr>
        <w:t>インボイス制度の概要</w:t>
      </w:r>
      <w:r w:rsidR="00617C91">
        <w:rPr>
          <w:rFonts w:asciiTheme="majorEastAsia" w:eastAsiaTheme="majorEastAsia" w:hAnsiTheme="majorEastAsia"/>
          <w:noProof/>
          <w:sz w:val="24"/>
          <w:szCs w:val="24"/>
        </w:rPr>
        <w:drawing>
          <wp:inline distT="0" distB="0" distL="0" distR="0" wp14:anchorId="23F42F37" wp14:editId="69C4195C">
            <wp:extent cx="5247700" cy="1967230"/>
            <wp:effectExtent l="0" t="0" r="0" b="0"/>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74079EB.tmp"/>
                    <pic:cNvPicPr/>
                  </pic:nvPicPr>
                  <pic:blipFill rotWithShape="1">
                    <a:blip r:embed="rId7">
                      <a:extLst>
                        <a:ext uri="{28A0092B-C50C-407E-A947-70E740481C1C}">
                          <a14:useLocalDpi xmlns:a14="http://schemas.microsoft.com/office/drawing/2010/main" val="0"/>
                        </a:ext>
                      </a:extLst>
                    </a:blip>
                    <a:srcRect l="32915" t="59327" r="15188" b="6149"/>
                    <a:stretch/>
                  </pic:blipFill>
                  <pic:spPr bwMode="auto">
                    <a:xfrm>
                      <a:off x="0" y="0"/>
                      <a:ext cx="5310994" cy="1990957"/>
                    </a:xfrm>
                    <a:prstGeom prst="rect">
                      <a:avLst/>
                    </a:prstGeom>
                    <a:ln>
                      <a:noFill/>
                    </a:ln>
                    <a:extLst>
                      <a:ext uri="{53640926-AAD7-44D8-BBD7-CCE9431645EC}">
                        <a14:shadowObscured xmlns:a14="http://schemas.microsoft.com/office/drawing/2010/main"/>
                      </a:ext>
                    </a:extLst>
                  </pic:spPr>
                </pic:pic>
              </a:graphicData>
            </a:graphic>
          </wp:inline>
        </w:drawing>
      </w:r>
    </w:p>
    <w:p w14:paraId="71680785" w14:textId="77777777" w:rsidR="00950618" w:rsidRDefault="00950618" w:rsidP="00245F5F">
      <w:pPr>
        <w:rPr>
          <w:rFonts w:asciiTheme="majorEastAsia" w:eastAsiaTheme="majorEastAsia" w:hAnsiTheme="majorEastAsia"/>
          <w:sz w:val="24"/>
          <w:szCs w:val="24"/>
        </w:rPr>
      </w:pPr>
    </w:p>
    <w:p w14:paraId="31A4E92F" w14:textId="6437CE33" w:rsidR="00FF61D4" w:rsidRDefault="00FF3020" w:rsidP="00DA4A09">
      <w:pPr>
        <w:ind w:left="24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２</w:t>
      </w:r>
      <w:r w:rsidR="00FF61D4">
        <w:rPr>
          <w:rFonts w:ascii="ＭＳ ゴシック" w:eastAsia="ＭＳ ゴシック" w:hAnsi="ＭＳ ゴシック" w:hint="eastAsia"/>
          <w:sz w:val="24"/>
          <w:szCs w:val="24"/>
        </w:rPr>
        <w:t xml:space="preserve">　インボイス発行事業者の登録</w:t>
      </w:r>
      <w:r w:rsidR="00294FC6">
        <w:rPr>
          <w:rFonts w:ascii="ＭＳ ゴシック" w:eastAsia="ＭＳ ゴシック" w:hAnsi="ＭＳ ゴシック" w:hint="eastAsia"/>
          <w:sz w:val="24"/>
          <w:szCs w:val="24"/>
        </w:rPr>
        <w:t>要否</w:t>
      </w:r>
      <w:r w:rsidR="00FF61D4">
        <w:rPr>
          <w:rFonts w:ascii="ＭＳ ゴシック" w:eastAsia="ＭＳ ゴシック" w:hAnsi="ＭＳ ゴシック" w:hint="eastAsia"/>
          <w:sz w:val="24"/>
          <w:szCs w:val="24"/>
        </w:rPr>
        <w:t>の検討</w:t>
      </w:r>
      <w:r w:rsidR="003544C3">
        <w:rPr>
          <w:rFonts w:ascii="ＭＳ ゴシック" w:eastAsia="ＭＳ ゴシック" w:hAnsi="ＭＳ ゴシック" w:hint="eastAsia"/>
          <w:sz w:val="24"/>
          <w:szCs w:val="24"/>
        </w:rPr>
        <w:t>と登録申請手続</w:t>
      </w:r>
    </w:p>
    <w:p w14:paraId="5FC3978D" w14:textId="4BEE74E3" w:rsidR="00FF61D4" w:rsidRDefault="00FF61D4" w:rsidP="00FF61D4">
      <w:pPr>
        <w:rPr>
          <w:rFonts w:asciiTheme="majorEastAsia" w:eastAsiaTheme="majorEastAsia" w:hAnsiTheme="majorEastAsia"/>
          <w:sz w:val="24"/>
          <w:szCs w:val="24"/>
        </w:rPr>
      </w:pPr>
      <w:r>
        <w:rPr>
          <w:rFonts w:asciiTheme="majorEastAsia" w:eastAsiaTheme="majorEastAsia" w:hAnsiTheme="majorEastAsia"/>
          <w:sz w:val="24"/>
          <w:szCs w:val="24"/>
        </w:rPr>
        <w:t xml:space="preserve">　</w:t>
      </w:r>
      <w:r w:rsidRPr="00851C2B">
        <w:rPr>
          <w:rFonts w:asciiTheme="majorEastAsia" w:eastAsiaTheme="majorEastAsia" w:hAnsiTheme="majorEastAsia" w:hint="eastAsia"/>
          <w:sz w:val="24"/>
          <w:szCs w:val="24"/>
        </w:rPr>
        <w:t>⑴</w:t>
      </w:r>
      <w:r>
        <w:rPr>
          <w:rFonts w:asciiTheme="majorEastAsia" w:eastAsiaTheme="majorEastAsia" w:hAnsiTheme="majorEastAsia" w:hint="eastAsia"/>
          <w:sz w:val="24"/>
          <w:szCs w:val="24"/>
        </w:rPr>
        <w:t xml:space="preserve">　インボイス発行事業者となるかどうかの</w:t>
      </w:r>
      <w:r w:rsidR="00E87C04">
        <w:rPr>
          <w:rFonts w:asciiTheme="majorEastAsia" w:eastAsiaTheme="majorEastAsia" w:hAnsiTheme="majorEastAsia" w:hint="eastAsia"/>
          <w:sz w:val="24"/>
          <w:szCs w:val="24"/>
        </w:rPr>
        <w:t>検討</w:t>
      </w:r>
    </w:p>
    <w:p w14:paraId="1A9A4354" w14:textId="39430E05" w:rsidR="009B78F8" w:rsidRDefault="00FF61D4" w:rsidP="009B78F8">
      <w:pPr>
        <w:ind w:left="480" w:hangingChars="200" w:hanging="480"/>
        <w:rPr>
          <w:rFonts w:asciiTheme="majorEastAsia" w:eastAsiaTheme="majorEastAsia" w:hAnsiTheme="majorEastAsia"/>
          <w:sz w:val="24"/>
          <w:szCs w:val="24"/>
        </w:rPr>
      </w:pPr>
      <w:r>
        <w:rPr>
          <w:rFonts w:asciiTheme="majorEastAsia" w:eastAsiaTheme="majorEastAsia" w:hAnsiTheme="majorEastAsia"/>
          <w:sz w:val="24"/>
          <w:szCs w:val="24"/>
        </w:rPr>
        <w:t xml:space="preserve">　　　</w:t>
      </w:r>
      <w:r w:rsidR="009B78F8">
        <w:rPr>
          <w:rFonts w:asciiTheme="majorEastAsia" w:eastAsiaTheme="majorEastAsia" w:hAnsiTheme="majorEastAsia"/>
          <w:sz w:val="24"/>
          <w:szCs w:val="24"/>
        </w:rPr>
        <w:t>インボイス発行事業者となるかは事業者の任意で</w:t>
      </w:r>
      <w:r w:rsidR="009B78F8">
        <w:rPr>
          <w:rFonts w:asciiTheme="majorEastAsia" w:eastAsiaTheme="majorEastAsia" w:hAnsiTheme="majorEastAsia" w:hint="eastAsia"/>
          <w:sz w:val="24"/>
          <w:szCs w:val="24"/>
        </w:rPr>
        <w:t>あり</w:t>
      </w:r>
      <w:r w:rsidR="009B78F8">
        <w:rPr>
          <w:rFonts w:asciiTheme="majorEastAsia" w:eastAsiaTheme="majorEastAsia" w:hAnsiTheme="majorEastAsia"/>
          <w:sz w:val="24"/>
          <w:szCs w:val="24"/>
        </w:rPr>
        <w:t>、売上先がインボイスを必要とするか</w:t>
      </w:r>
      <w:r w:rsidR="009B78F8">
        <w:rPr>
          <w:rFonts w:asciiTheme="majorEastAsia" w:eastAsiaTheme="majorEastAsia" w:hAnsiTheme="majorEastAsia" w:hint="eastAsia"/>
          <w:sz w:val="24"/>
          <w:szCs w:val="24"/>
        </w:rPr>
        <w:t>、</w:t>
      </w:r>
      <w:r w:rsidR="00D33986">
        <w:rPr>
          <w:rFonts w:asciiTheme="majorEastAsia" w:eastAsiaTheme="majorEastAsia" w:hAnsiTheme="majorEastAsia" w:hint="eastAsia"/>
          <w:sz w:val="24"/>
          <w:szCs w:val="24"/>
        </w:rPr>
        <w:t>登録した場合に申告義務が生じますが、その</w:t>
      </w:r>
      <w:r w:rsidR="009B78F8">
        <w:rPr>
          <w:rFonts w:asciiTheme="majorEastAsia" w:eastAsiaTheme="majorEastAsia" w:hAnsiTheme="majorEastAsia"/>
          <w:sz w:val="24"/>
          <w:szCs w:val="24"/>
        </w:rPr>
        <w:t>申告に係る</w:t>
      </w:r>
      <w:r w:rsidR="00D33986">
        <w:rPr>
          <w:rFonts w:asciiTheme="majorEastAsia" w:eastAsiaTheme="majorEastAsia" w:hAnsiTheme="majorEastAsia" w:hint="eastAsia"/>
          <w:sz w:val="24"/>
          <w:szCs w:val="24"/>
        </w:rPr>
        <w:t>税負担や</w:t>
      </w:r>
      <w:r w:rsidR="009B78F8">
        <w:rPr>
          <w:rFonts w:asciiTheme="majorEastAsia" w:eastAsiaTheme="majorEastAsia" w:hAnsiTheme="majorEastAsia"/>
          <w:sz w:val="24"/>
          <w:szCs w:val="24"/>
        </w:rPr>
        <w:t>事務負担</w:t>
      </w:r>
      <w:r w:rsidR="009B78F8">
        <w:rPr>
          <w:rFonts w:asciiTheme="majorEastAsia" w:eastAsiaTheme="majorEastAsia" w:hAnsiTheme="majorEastAsia" w:hint="eastAsia"/>
          <w:sz w:val="24"/>
          <w:szCs w:val="24"/>
        </w:rPr>
        <w:t>がどの程度あるのか</w:t>
      </w:r>
      <w:r w:rsidR="000F71E8">
        <w:rPr>
          <w:rFonts w:asciiTheme="majorEastAsia" w:eastAsiaTheme="majorEastAsia" w:hAnsiTheme="majorEastAsia" w:hint="eastAsia"/>
          <w:sz w:val="24"/>
          <w:szCs w:val="24"/>
        </w:rPr>
        <w:t>、</w:t>
      </w:r>
      <w:r w:rsidR="009B78F8">
        <w:rPr>
          <w:rFonts w:asciiTheme="majorEastAsia" w:eastAsiaTheme="majorEastAsia" w:hAnsiTheme="majorEastAsia" w:hint="eastAsia"/>
          <w:sz w:val="24"/>
          <w:szCs w:val="24"/>
        </w:rPr>
        <w:t>といった点を踏まえて検討する必要があります。</w:t>
      </w:r>
    </w:p>
    <w:p w14:paraId="058BD2C8" w14:textId="77777777" w:rsidR="00FF61D4" w:rsidRPr="00280638" w:rsidRDefault="00FF61D4" w:rsidP="00FF61D4">
      <w:pPr>
        <w:ind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⑵　登録申請手続</w:t>
      </w:r>
    </w:p>
    <w:p w14:paraId="426EEFCC" w14:textId="71F3BC77" w:rsidR="00FC4D0D" w:rsidRDefault="00FC4D0D" w:rsidP="00FC4D0D">
      <w:pPr>
        <w:ind w:leftChars="250" w:left="525" w:firstLineChars="100" w:firstLine="240"/>
        <w:rPr>
          <w:rFonts w:asciiTheme="majorEastAsia" w:eastAsiaTheme="majorEastAsia" w:hAnsiTheme="majorEastAsia"/>
          <w:sz w:val="24"/>
          <w:szCs w:val="24"/>
        </w:rPr>
      </w:pPr>
      <w:bookmarkStart w:id="0" w:name="_Hlk130198944"/>
      <w:r>
        <w:rPr>
          <w:rFonts w:asciiTheme="majorEastAsia" w:eastAsiaTheme="majorEastAsia" w:hAnsiTheme="majorEastAsia" w:hint="eastAsia"/>
          <w:sz w:val="24"/>
          <w:szCs w:val="24"/>
        </w:rPr>
        <w:t>インボイス</w:t>
      </w:r>
      <w:r w:rsidRPr="00851C2B">
        <w:rPr>
          <w:rFonts w:asciiTheme="majorEastAsia" w:eastAsiaTheme="majorEastAsia" w:hAnsiTheme="majorEastAsia" w:hint="eastAsia"/>
          <w:sz w:val="24"/>
          <w:szCs w:val="24"/>
        </w:rPr>
        <w:t>発行事業者の登録を受けようとする事業者は、登録申請書を提出する必要があ</w:t>
      </w:r>
      <w:r>
        <w:rPr>
          <w:rFonts w:asciiTheme="majorEastAsia" w:eastAsiaTheme="majorEastAsia" w:hAnsiTheme="majorEastAsia" w:hint="eastAsia"/>
          <w:sz w:val="24"/>
          <w:szCs w:val="24"/>
        </w:rPr>
        <w:t>ります</w:t>
      </w:r>
      <w:r w:rsidRPr="00851C2B">
        <w:rPr>
          <w:rFonts w:asciiTheme="majorEastAsia" w:eastAsiaTheme="majorEastAsia" w:hAnsiTheme="majorEastAsia" w:hint="eastAsia"/>
          <w:sz w:val="24"/>
          <w:szCs w:val="24"/>
        </w:rPr>
        <w:t>。</w:t>
      </w:r>
    </w:p>
    <w:p w14:paraId="34F23954" w14:textId="368C977C" w:rsidR="00FC4D0D" w:rsidRPr="00295B65" w:rsidRDefault="00FC4D0D" w:rsidP="00FC4D0D">
      <w:pPr>
        <w:ind w:leftChars="250" w:left="525" w:firstLineChars="100" w:firstLine="240"/>
        <w:rPr>
          <w:rFonts w:asciiTheme="majorEastAsia" w:eastAsiaTheme="majorEastAsia" w:hAnsiTheme="majorEastAsia"/>
          <w:sz w:val="24"/>
          <w:szCs w:val="24"/>
        </w:rPr>
      </w:pPr>
      <w:r w:rsidRPr="00E1346C">
        <w:rPr>
          <w:rFonts w:asciiTheme="majorEastAsia" w:eastAsiaTheme="majorEastAsia" w:hAnsiTheme="majorEastAsia" w:hint="eastAsia"/>
          <w:sz w:val="24"/>
          <w:szCs w:val="24"/>
        </w:rPr>
        <w:t>制度開始</w:t>
      </w:r>
      <w:r w:rsidR="0061735D">
        <w:rPr>
          <w:rFonts w:asciiTheme="majorEastAsia" w:eastAsiaTheme="majorEastAsia" w:hAnsiTheme="majorEastAsia" w:hint="eastAsia"/>
          <w:sz w:val="24"/>
          <w:szCs w:val="24"/>
        </w:rPr>
        <w:t>日</w:t>
      </w:r>
      <w:r w:rsidRPr="00E1346C">
        <w:rPr>
          <w:rFonts w:asciiTheme="majorEastAsia" w:eastAsiaTheme="majorEastAsia" w:hAnsiTheme="majorEastAsia" w:hint="eastAsia"/>
          <w:sz w:val="24"/>
          <w:szCs w:val="24"/>
        </w:rPr>
        <w:t>（</w:t>
      </w:r>
      <w:r w:rsidR="00D33FF7">
        <w:rPr>
          <w:rFonts w:asciiTheme="majorEastAsia" w:eastAsiaTheme="majorEastAsia" w:hAnsiTheme="majorEastAsia" w:hint="eastAsia"/>
          <w:sz w:val="24"/>
          <w:szCs w:val="24"/>
        </w:rPr>
        <w:t>本</w:t>
      </w:r>
      <w:r w:rsidRPr="00E1346C">
        <w:rPr>
          <w:rFonts w:asciiTheme="majorEastAsia" w:eastAsiaTheme="majorEastAsia" w:hAnsiTheme="majorEastAsia" w:hint="eastAsia"/>
          <w:sz w:val="24"/>
          <w:szCs w:val="24"/>
        </w:rPr>
        <w:t>年10月１日）からインボイス発行事業者となるた</w:t>
      </w:r>
      <w:r>
        <w:rPr>
          <w:rFonts w:asciiTheme="majorEastAsia" w:eastAsiaTheme="majorEastAsia" w:hAnsiTheme="majorEastAsia" w:hint="eastAsia"/>
          <w:sz w:val="24"/>
          <w:szCs w:val="24"/>
        </w:rPr>
        <w:t>めには、</w:t>
      </w:r>
      <w:r w:rsidR="00D33FF7">
        <w:rPr>
          <w:rFonts w:asciiTheme="majorEastAsia" w:eastAsiaTheme="majorEastAsia" w:hAnsiTheme="majorEastAsia" w:hint="eastAsia"/>
          <w:sz w:val="24"/>
          <w:szCs w:val="24"/>
        </w:rPr>
        <w:t>本</w:t>
      </w:r>
      <w:r w:rsidRPr="00295B65">
        <w:rPr>
          <w:rFonts w:asciiTheme="majorEastAsia" w:eastAsiaTheme="majorEastAsia" w:hAnsiTheme="majorEastAsia" w:hint="eastAsia"/>
          <w:sz w:val="24"/>
          <w:szCs w:val="24"/>
        </w:rPr>
        <w:t>年９月30日まで</w:t>
      </w:r>
      <w:r>
        <w:rPr>
          <w:rFonts w:asciiTheme="majorEastAsia" w:eastAsiaTheme="majorEastAsia" w:hAnsiTheme="majorEastAsia" w:hint="eastAsia"/>
          <w:sz w:val="24"/>
          <w:szCs w:val="24"/>
        </w:rPr>
        <w:t>に</w:t>
      </w:r>
      <w:r w:rsidRPr="00295B65">
        <w:rPr>
          <w:rFonts w:asciiTheme="majorEastAsia" w:eastAsiaTheme="majorEastAsia" w:hAnsiTheme="majorEastAsia" w:hint="eastAsia"/>
          <w:sz w:val="24"/>
          <w:szCs w:val="24"/>
        </w:rPr>
        <w:t>申請</w:t>
      </w:r>
      <w:r>
        <w:rPr>
          <w:rFonts w:asciiTheme="majorEastAsia" w:eastAsiaTheme="majorEastAsia" w:hAnsiTheme="majorEastAsia" w:hint="eastAsia"/>
          <w:sz w:val="24"/>
          <w:szCs w:val="24"/>
        </w:rPr>
        <w:t>する必要があります</w:t>
      </w:r>
      <w:r w:rsidR="00E33AE2" w:rsidRPr="00E33AE2">
        <w:rPr>
          <w:rFonts w:asciiTheme="majorEastAsia" w:eastAsiaTheme="majorEastAsia" w:hAnsiTheme="majorEastAsia" w:hint="eastAsia"/>
          <w:sz w:val="24"/>
          <w:szCs w:val="24"/>
        </w:rPr>
        <w:t>（本年９月30日までに提出した場合は、制度開始日である本年10月１日までに登録通知が届かなかった場合であっても、同日から登録を受けたものとみなされます。）</w:t>
      </w:r>
      <w:r w:rsidRPr="00295B65">
        <w:rPr>
          <w:rFonts w:asciiTheme="majorEastAsia" w:eastAsiaTheme="majorEastAsia" w:hAnsiTheme="majorEastAsia" w:hint="eastAsia"/>
          <w:sz w:val="24"/>
          <w:szCs w:val="24"/>
        </w:rPr>
        <w:t>。</w:t>
      </w:r>
      <w:r>
        <w:rPr>
          <w:rFonts w:asciiTheme="majorEastAsia" w:eastAsiaTheme="majorEastAsia" w:hAnsiTheme="majorEastAsia" w:hint="eastAsia"/>
          <w:sz w:val="24"/>
          <w:szCs w:val="24"/>
        </w:rPr>
        <w:t>ただし、申請してから</w:t>
      </w:r>
      <w:r w:rsidRPr="00295B65">
        <w:rPr>
          <w:rFonts w:asciiTheme="majorEastAsia" w:eastAsiaTheme="majorEastAsia" w:hAnsiTheme="majorEastAsia" w:hint="eastAsia"/>
          <w:sz w:val="24"/>
          <w:szCs w:val="24"/>
        </w:rPr>
        <w:t>登録通知が届くまで一定の</w:t>
      </w:r>
      <w:r>
        <w:rPr>
          <w:rFonts w:asciiTheme="majorEastAsia" w:eastAsiaTheme="majorEastAsia" w:hAnsiTheme="majorEastAsia" w:hint="eastAsia"/>
          <w:sz w:val="24"/>
          <w:szCs w:val="24"/>
        </w:rPr>
        <w:t>処理</w:t>
      </w:r>
      <w:r w:rsidRPr="00295B65">
        <w:rPr>
          <w:rFonts w:asciiTheme="majorEastAsia" w:eastAsiaTheme="majorEastAsia" w:hAnsiTheme="majorEastAsia" w:hint="eastAsia"/>
          <w:sz w:val="24"/>
          <w:szCs w:val="24"/>
        </w:rPr>
        <w:t>期間を要</w:t>
      </w:r>
      <w:r w:rsidR="0061735D">
        <w:rPr>
          <w:rFonts w:asciiTheme="majorEastAsia" w:eastAsiaTheme="majorEastAsia" w:hAnsiTheme="majorEastAsia" w:hint="eastAsia"/>
          <w:sz w:val="24"/>
          <w:szCs w:val="24"/>
        </w:rPr>
        <w:t>しますので、登録をお決めになられた方は、お早めの申請をおすすめします。</w:t>
      </w:r>
    </w:p>
    <w:p w14:paraId="1720C7E4" w14:textId="53015354" w:rsidR="00FF61D4" w:rsidRDefault="00FC4D0D" w:rsidP="00FC4D0D">
      <w:pPr>
        <w:ind w:leftChars="250" w:left="525"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制度開始後に登録申請を行うことも可能です。免税事業者が制度開始後</w:t>
      </w:r>
      <w:r>
        <w:rPr>
          <w:rFonts w:asciiTheme="majorEastAsia" w:eastAsiaTheme="majorEastAsia" w:hAnsiTheme="majorEastAsia" w:hint="eastAsia"/>
          <w:sz w:val="24"/>
          <w:szCs w:val="24"/>
        </w:rPr>
        <w:lastRenderedPageBreak/>
        <w:t>に登録を受ける場合、令和11年９月30日の属する課税期間までの間は、登録希望日（</w:t>
      </w:r>
      <w:bookmarkStart w:id="1" w:name="_Hlk129952779"/>
      <w:r w:rsidR="002B6365" w:rsidRPr="009F6D20">
        <w:rPr>
          <w:rFonts w:asciiTheme="majorEastAsia" w:eastAsiaTheme="majorEastAsia" w:hAnsiTheme="majorEastAsia" w:hint="eastAsia"/>
          <w:sz w:val="24"/>
          <w:szCs w:val="24"/>
        </w:rPr>
        <w:t>提出日から15日以降の登録を受ける日として事業者が希望する日</w:t>
      </w:r>
      <w:bookmarkEnd w:id="1"/>
      <w:r>
        <w:rPr>
          <w:rFonts w:asciiTheme="majorEastAsia" w:eastAsiaTheme="majorEastAsia" w:hAnsiTheme="majorEastAsia" w:hint="eastAsia"/>
          <w:sz w:val="24"/>
          <w:szCs w:val="24"/>
        </w:rPr>
        <w:t>）から登録を受けることが</w:t>
      </w:r>
      <w:r w:rsidR="00411917">
        <w:rPr>
          <w:rFonts w:asciiTheme="majorEastAsia" w:eastAsiaTheme="majorEastAsia" w:hAnsiTheme="majorEastAsia" w:hint="eastAsia"/>
          <w:sz w:val="24"/>
          <w:szCs w:val="24"/>
        </w:rPr>
        <w:t>できる</w:t>
      </w:r>
      <w:r>
        <w:rPr>
          <w:rFonts w:asciiTheme="majorEastAsia" w:eastAsiaTheme="majorEastAsia" w:hAnsiTheme="majorEastAsia" w:hint="eastAsia"/>
          <w:sz w:val="24"/>
          <w:szCs w:val="24"/>
        </w:rPr>
        <w:t>経過措置が設けられています。</w:t>
      </w:r>
      <w:bookmarkEnd w:id="0"/>
    </w:p>
    <w:p w14:paraId="77256663" w14:textId="47C13A55" w:rsidR="00830769" w:rsidRDefault="00830769" w:rsidP="00830769">
      <w:pPr>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⑶　各種補助金</w:t>
      </w:r>
    </w:p>
    <w:p w14:paraId="4E4C7E71" w14:textId="7D5F16AF" w:rsidR="00830769" w:rsidRDefault="00830769" w:rsidP="00830769">
      <w:pPr>
        <w:ind w:leftChars="200" w:left="420" w:firstLineChars="100" w:firstLine="240"/>
        <w:rPr>
          <w:rFonts w:asciiTheme="majorEastAsia" w:eastAsiaTheme="majorEastAsia" w:hAnsiTheme="majorEastAsia"/>
          <w:sz w:val="24"/>
          <w:szCs w:val="24"/>
        </w:rPr>
      </w:pPr>
      <w:r w:rsidRPr="001378B7">
        <w:rPr>
          <w:rFonts w:asciiTheme="majorEastAsia" w:eastAsiaTheme="majorEastAsia" w:hAnsiTheme="majorEastAsia" w:hint="eastAsia"/>
          <w:sz w:val="24"/>
          <w:szCs w:val="24"/>
        </w:rPr>
        <w:t>インボイス制度への対応を見据えたデジタル化や販路開拓等</w:t>
      </w:r>
      <w:r w:rsidR="00BD0D3C">
        <w:rPr>
          <w:rFonts w:asciiTheme="majorEastAsia" w:eastAsiaTheme="majorEastAsia" w:hAnsiTheme="majorEastAsia" w:hint="eastAsia"/>
          <w:sz w:val="24"/>
          <w:szCs w:val="24"/>
        </w:rPr>
        <w:t>を支援するための</w:t>
      </w:r>
      <w:r w:rsidR="00FF3020">
        <w:rPr>
          <w:rFonts w:asciiTheme="majorEastAsia" w:eastAsiaTheme="majorEastAsia" w:hAnsiTheme="majorEastAsia" w:hint="eastAsia"/>
          <w:sz w:val="24"/>
          <w:szCs w:val="24"/>
        </w:rPr>
        <w:t>IT導入</w:t>
      </w:r>
      <w:r w:rsidR="00FF3020" w:rsidRPr="001378B7">
        <w:rPr>
          <w:rFonts w:asciiTheme="majorEastAsia" w:eastAsiaTheme="majorEastAsia" w:hAnsiTheme="majorEastAsia" w:hint="eastAsia"/>
          <w:sz w:val="24"/>
          <w:szCs w:val="24"/>
        </w:rPr>
        <w:t>補助金</w:t>
      </w:r>
      <w:r w:rsidR="00FF3020">
        <w:rPr>
          <w:rFonts w:asciiTheme="majorEastAsia" w:eastAsiaTheme="majorEastAsia" w:hAnsiTheme="majorEastAsia" w:hint="eastAsia"/>
          <w:sz w:val="24"/>
          <w:szCs w:val="24"/>
        </w:rPr>
        <w:t>及び</w:t>
      </w:r>
      <w:r>
        <w:rPr>
          <w:rFonts w:asciiTheme="majorEastAsia" w:eastAsiaTheme="majorEastAsia" w:hAnsiTheme="majorEastAsia"/>
          <w:sz w:val="24"/>
          <w:szCs w:val="24"/>
        </w:rPr>
        <w:t>小規模事業者持続化補助金</w:t>
      </w:r>
      <w:r w:rsidRPr="001378B7">
        <w:rPr>
          <w:rFonts w:asciiTheme="majorEastAsia" w:eastAsiaTheme="majorEastAsia" w:hAnsiTheme="majorEastAsia" w:hint="eastAsia"/>
          <w:sz w:val="24"/>
          <w:szCs w:val="24"/>
        </w:rPr>
        <w:t>が活用できます。</w:t>
      </w:r>
    </w:p>
    <w:p w14:paraId="6F24921E" w14:textId="20DD07E4" w:rsidR="00830769" w:rsidRDefault="00830769" w:rsidP="00830769">
      <w:pPr>
        <w:ind w:leftChars="300" w:left="630" w:firstLineChars="100" w:firstLine="240"/>
        <w:rPr>
          <w:rFonts w:asciiTheme="majorEastAsia" w:eastAsiaTheme="majorEastAsia" w:hAnsiTheme="majorEastAsia"/>
          <w:sz w:val="24"/>
          <w:szCs w:val="24"/>
        </w:rPr>
      </w:pPr>
      <w:r>
        <w:rPr>
          <w:rFonts w:asciiTheme="majorEastAsia" w:eastAsiaTheme="majorEastAsia" w:hAnsiTheme="majorEastAsia"/>
          <w:noProof/>
          <w:sz w:val="24"/>
          <w:szCs w:val="24"/>
        </w:rPr>
        <mc:AlternateContent>
          <mc:Choice Requires="wps">
            <w:drawing>
              <wp:anchor distT="0" distB="0" distL="114300" distR="114300" simplePos="0" relativeHeight="251703296" behindDoc="0" locked="0" layoutInCell="1" allowOverlap="1" wp14:anchorId="5119FD21" wp14:editId="3E050BB9">
                <wp:simplePos x="0" y="0"/>
                <wp:positionH relativeFrom="column">
                  <wp:posOffset>4124960</wp:posOffset>
                </wp:positionH>
                <wp:positionV relativeFrom="paragraph">
                  <wp:posOffset>99060</wp:posOffset>
                </wp:positionV>
                <wp:extent cx="1118382" cy="849435"/>
                <wp:effectExtent l="0" t="0" r="5715" b="8255"/>
                <wp:wrapNone/>
                <wp:docPr id="9" name="テキスト ボックス 2"/>
                <wp:cNvGraphicFramePr/>
                <a:graphic xmlns:a="http://schemas.openxmlformats.org/drawingml/2006/main">
                  <a:graphicData uri="http://schemas.microsoft.com/office/word/2010/wordprocessingShape">
                    <wps:wsp>
                      <wps:cNvSpPr txBox="1"/>
                      <wps:spPr>
                        <a:xfrm>
                          <a:off x="0" y="0"/>
                          <a:ext cx="1118382" cy="8494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0E5083" w14:textId="77777777" w:rsidR="00830769" w:rsidRDefault="00830769" w:rsidP="00830769">
                            <w:r w:rsidRPr="00B167FC">
                              <w:rPr>
                                <w:noProof/>
                              </w:rPr>
                              <w:drawing>
                                <wp:inline distT="0" distB="0" distL="0" distR="0" wp14:anchorId="4E476C60" wp14:editId="251584C8">
                                  <wp:extent cx="947726" cy="727075"/>
                                  <wp:effectExtent l="0" t="0" r="0" b="0"/>
                                  <wp:docPr id="14"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3730" cy="731681"/>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19FD21" id="_x0000_t202" coordsize="21600,21600" o:spt="202" path="m,l,21600r21600,l21600,xe">
                <v:stroke joinstyle="miter"/>
                <v:path gradientshapeok="t" o:connecttype="rect"/>
              </v:shapetype>
              <v:shape id="テキスト ボックス 2" o:spid="_x0000_s1026" type="#_x0000_t202" style="position:absolute;left:0;text-align:left;margin-left:324.8pt;margin-top:7.8pt;width:88.05pt;height:66.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e7lgIAAGUFAAAOAAAAZHJzL2Uyb0RvYy54bWysVM1uEzEQviPxDpbvdJP0R2nUTRVaFSFV&#10;bUWKena8drPC9hjbyW44NhLiIXgFxJnn2Rdh7N1Nq8KliMvu2PPNeOabn5PTWiuyFs6XYHI63BtQ&#10;IgyHojT3Of14e/FmTIkPzBRMgRE53QhPT6evX51UdiJGsARVCEfQifGTyuZ0GYKdZJnnS6GZ3wMr&#10;DColOM0CHt19VjhWoXetstFgcJRV4ArrgAvv8fa8VdJp8i+l4OFaSi8CUTnF2EL6uvRdxG82PWGT&#10;e8fssuRdGOwfotCsNPjoztU5C4ysXPmHK11yBx5k2OOgM5Cy5CLlgNkMB8+ymS+ZFSkXJMfbHU3+&#10;/7nlV+sbR8oip8eUGKaxRM32a/Pwo3n41Wy/kWb7vdlum4efeCajSFdl/QSt5hbtQv0Waix7f+/x&#10;MrJQS6fjH/MjqEfiNzuyRR0Ij0bD4Xh/PKKEo258cHywfxjdZI/W1vnwToAmUcipw2Imjtn60ocW&#10;2kPiYwYuSqVSQZUhVU6P9g8HyWCnQefKRKxIrdG5iRm1kScpbJSIGGU+CInUpATiRWpKcaYcWTNs&#10;J8a5MCHlnvwiOqIkBvESww7/GNVLjNs8+pfBhJ2xLg24lP2zsItPfciyxSPnT/KOYqgXdVfpBRQb&#10;LLSDdnK85RclVuOS+XDDHI4K1hbHP1zjRypA1qGTKFmC+/K3+4jHDkYtJRWOXk795xVzghL13mBv&#10;xzntBdcLi14wK30GSP8QF4vlSUQDF1QvSgf6DrfCLL6CKmY4vpVTHlx/OAvtCsC9wsVslmA4j5aF&#10;SzO3PDqP9YjddVvfMWe7FgzYvFfQjyWbPOvEFhstDcxWAWSZ2jRS2vLYUY2znBq92ztxWTw9J9Tj&#10;dpz+BgAA//8DAFBLAwQUAAYACAAAACEA34XOHOEAAAAKAQAADwAAAGRycy9kb3ducmV2LnhtbEyP&#10;0U7CQBBF3038h82Q+CZbSKlQuiXGREQTTQQ/YGmHbml3tukupf6945M+TWbuzZ1zs81oWzFg72tH&#10;CmbTCARS4cqaKgVfh+f7JQgfNJW6dYQKvtHDJr+9yXRauit94rAPleAQ8qlWYELoUil9YdBqP3Ud&#10;Emsn11sdeO0rWfb6yuG2lfMoSqTVNfEHozt8Mlg0+4tVsK1Ps8PH0FSdaV5ftm+79/PuHJS6m4yP&#10;axABx/Bnhl98RoecmY7uQqUXrYIkXiVsZWHBkw3L+eIBxJEP8SoGmWfyf4X8BwAA//8DAFBLAQIt&#10;ABQABgAIAAAAIQC2gziS/gAAAOEBAAATAAAAAAAAAAAAAAAAAAAAAABbQ29udGVudF9UeXBlc10u&#10;eG1sUEsBAi0AFAAGAAgAAAAhADj9If/WAAAAlAEAAAsAAAAAAAAAAAAAAAAALwEAAF9yZWxzLy5y&#10;ZWxzUEsBAi0AFAAGAAgAAAAhAFL+57uWAgAAZQUAAA4AAAAAAAAAAAAAAAAALgIAAGRycy9lMm9E&#10;b2MueG1sUEsBAi0AFAAGAAgAAAAhAN+FzhzhAAAACgEAAA8AAAAAAAAAAAAAAAAA8AQAAGRycy9k&#10;b3ducmV2LnhtbFBLBQYAAAAABAAEAPMAAAD+BQAAAAA=&#10;" filled="f" stroked="f" strokeweight=".5pt">
                <v:textbox inset="0,0,0,0">
                  <w:txbxContent>
                    <w:p w14:paraId="7F0E5083" w14:textId="77777777" w:rsidR="00830769" w:rsidRDefault="00830769" w:rsidP="00830769">
                      <w:r w:rsidRPr="00B167FC">
                        <w:rPr>
                          <w:noProof/>
                        </w:rPr>
                        <w:drawing>
                          <wp:inline distT="0" distB="0" distL="0" distR="0" wp14:anchorId="4E476C60" wp14:editId="251584C8">
                            <wp:extent cx="947726" cy="727075"/>
                            <wp:effectExtent l="0" t="0" r="0" b="0"/>
                            <wp:docPr id="14"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3730" cy="731681"/>
                                    </a:xfrm>
                                    <a:prstGeom prst="rect">
                                      <a:avLst/>
                                    </a:prstGeom>
                                    <a:noFill/>
                                    <a:ln>
                                      <a:noFill/>
                                    </a:ln>
                                  </pic:spPr>
                                </pic:pic>
                              </a:graphicData>
                            </a:graphic>
                          </wp:inline>
                        </w:drawing>
                      </w:r>
                    </w:p>
                  </w:txbxContent>
                </v:textbox>
              </v:shape>
            </w:pict>
          </mc:Fallback>
        </mc:AlternateContent>
      </w:r>
      <w:r>
        <w:rPr>
          <w:rFonts w:asciiTheme="majorEastAsia" w:eastAsiaTheme="majorEastAsia" w:hAnsiTheme="majorEastAsia"/>
          <w:noProof/>
          <w:sz w:val="24"/>
          <w:szCs w:val="24"/>
        </w:rPr>
        <mc:AlternateContent>
          <mc:Choice Requires="wps">
            <w:drawing>
              <wp:anchor distT="0" distB="0" distL="114300" distR="114300" simplePos="0" relativeHeight="251699200" behindDoc="0" locked="0" layoutInCell="1" allowOverlap="1" wp14:anchorId="521B045F" wp14:editId="6F6AC539">
                <wp:simplePos x="0" y="0"/>
                <wp:positionH relativeFrom="column">
                  <wp:posOffset>1372870</wp:posOffset>
                </wp:positionH>
                <wp:positionV relativeFrom="paragraph">
                  <wp:posOffset>100965</wp:posOffset>
                </wp:positionV>
                <wp:extent cx="968587" cy="745066"/>
                <wp:effectExtent l="0" t="0" r="0" b="0"/>
                <wp:wrapNone/>
                <wp:docPr id="8" name="テキスト ボックス 3"/>
                <wp:cNvGraphicFramePr/>
                <a:graphic xmlns:a="http://schemas.openxmlformats.org/drawingml/2006/main">
                  <a:graphicData uri="http://schemas.microsoft.com/office/word/2010/wordprocessingShape">
                    <wps:wsp>
                      <wps:cNvSpPr txBox="1"/>
                      <wps:spPr>
                        <a:xfrm>
                          <a:off x="0" y="0"/>
                          <a:ext cx="968587" cy="74506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1456721" w14:textId="77777777" w:rsidR="00830769" w:rsidRPr="00ED02F5" w:rsidRDefault="00830769" w:rsidP="00830769">
                            <w:pPr>
                              <w:rPr>
                                <w:color w:val="FFFFFF" w:themeColor="background1"/>
                                <w14:textFill>
                                  <w14:noFill/>
                                </w14:textFill>
                              </w:rPr>
                            </w:pPr>
                            <w:r w:rsidRPr="00ED02F5">
                              <w:rPr>
                                <w:noProof/>
                                <w:color w:val="FFFFFF" w:themeColor="background1"/>
                                <w14:textFill>
                                  <w14:noFill/>
                                </w14:textFill>
                              </w:rPr>
                              <w:drawing>
                                <wp:inline distT="0" distB="0" distL="0" distR="0" wp14:anchorId="23AB611F" wp14:editId="00B9B36A">
                                  <wp:extent cx="546735" cy="534035"/>
                                  <wp:effectExtent l="0" t="0" r="571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10"/>
                                          <a:stretch>
                                            <a:fillRect/>
                                          </a:stretch>
                                        </pic:blipFill>
                                        <pic:spPr>
                                          <a:xfrm>
                                            <a:off x="0" y="0"/>
                                            <a:ext cx="546735" cy="5340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1B045F" id="テキスト ボックス 3" o:spid="_x0000_s1027" type="#_x0000_t202" style="position:absolute;left:0;text-align:left;margin-left:108.1pt;margin-top:7.95pt;width:76.25pt;height:58.6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jFZoQIAAHkFAAAOAAAAZHJzL2Uyb0RvYy54bWysVM1u2zAMvg/YOwi6r07aJG2DOkXWosOA&#10;oi3WDj0rstQYk0VNUmJnxwYY9hB7hWHnPY9fZJRsJ0G2S4ddbEr8SJEff87Oq0KRpbAuB53S/kGP&#10;EqE5ZLl+SunHh6s3J5Q4z3TGFGiR0pVw9Hzy+tVZacbiEOagMmEJOtFuXJqUzr034yRxfC4K5g7A&#10;CI1KCbZgHo/2KcksK9F7oZLDXm+UlGAzY4EL5/D2slHSSfQvpeD+VkonPFEpxdh8/Nr4nYVvMjlj&#10;4yfLzDznbRjsH6IoWK7x0Y2rS+YZWdj8D1dFzi04kP6AQ5GAlDkXMQfMpt/by+Z+zoyIuSA5zmxo&#10;cv/PLb9Z3lmSZynFQmlWYInq9df6+Uf9/KtefyP1+nu9XtfPP/FMjgJdpXFjtLo3aOert1Bh2bt7&#10;h5eBhUraIvwxP4J6JH61IVtUnnC8PB2dDE+OKeGoOh4Me6NR8JJsjY11/p2AggQhpRZrGSlmy2vn&#10;G2gHCW9puMqVivVUmpQpHR0Ne9Fgo0HnSgesiJ3RugkJNYFHya+UCBilPwiJzMT4w0XsSXGhLFky&#10;7CbGudA+ph79IjqgJAbxEsMWv43qJcZNHt3LoP3GuMg12Jj9XtjZpy5k2eCR8528g+irWRVbYlPX&#10;GWQrLLeFZn6c4Vc5FuWaOX/HLA4MVhiXgL/Fj1SA5EMrUTIH++Vv9wGPfYxaSkocwJS6zwtmBSXq&#10;vcYOP+0PBmFi42EwPD7Eg93VzHY1elFcAFalj+vG8CgGvFedKC0Uj7grpuFVVDHN8e2U+k688M1a&#10;wF3DxXQaQTijhvlrfW94cB2KFFruoXpk1rR96bGhb6AbVTbea88GGyw1TBceZB57N/DcsNryj/Md&#10;u7/dRWGB7J4jarsxJ78BAAD//wMAUEsDBBQABgAIAAAAIQADae2Z4QAAAAoBAAAPAAAAZHJzL2Rv&#10;d25yZXYueG1sTI/BTsMwDIbvSLxDZCRuLF2qlVKaTlOlCQnBYWMXbmmTtRWJU5psKzw95gRH+//0&#10;+3O5np1lZzOFwaOE5SIBZrD1esBOwuFte5cDC1GhVtajkfBlAqyr66tSFdpfcGfO+9gxKsFQKAl9&#10;jGPBeWh741RY+NEgZUc/ORVpnDquJ3Whcme5SJKMOzUgXejVaOretB/7k5PwXG9f1a4RLv+29dPL&#10;cTN+Ht5XUt7ezJtHYNHM8Q+GX31Sh4qcGn9CHZiVIJaZIJSC1QMwAtIsvwfW0CJNBfCq5P9fqH4A&#10;AAD//wMAUEsBAi0AFAAGAAgAAAAhALaDOJL+AAAA4QEAABMAAAAAAAAAAAAAAAAAAAAAAFtDb250&#10;ZW50X1R5cGVzXS54bWxQSwECLQAUAAYACAAAACEAOP0h/9YAAACUAQAACwAAAAAAAAAAAAAAAAAv&#10;AQAAX3JlbHMvLnJlbHNQSwECLQAUAAYACAAAACEAmhoxWaECAAB5BQAADgAAAAAAAAAAAAAAAAAu&#10;AgAAZHJzL2Uyb0RvYy54bWxQSwECLQAUAAYACAAAACEAA2ntmeEAAAAKAQAADwAAAAAAAAAAAAAA&#10;AAD7BAAAZHJzL2Rvd25yZXYueG1sUEsFBgAAAAAEAAQA8wAAAAkGAAAAAA==&#10;" filled="f" stroked="f" strokeweight=".5pt">
                <v:textbox>
                  <w:txbxContent>
                    <w:p w14:paraId="01456721" w14:textId="77777777" w:rsidR="00830769" w:rsidRPr="00ED02F5" w:rsidRDefault="00830769" w:rsidP="00830769">
                      <w:pPr>
                        <w:rPr>
                          <w:color w:val="FFFFFF" w:themeColor="background1"/>
                          <w14:textFill>
                            <w14:noFill/>
                          </w14:textFill>
                        </w:rPr>
                      </w:pPr>
                      <w:r w:rsidRPr="00ED02F5">
                        <w:rPr>
                          <w:noProof/>
                          <w:color w:val="FFFFFF" w:themeColor="background1"/>
                          <w14:textFill>
                            <w14:noFill/>
                          </w14:textFill>
                        </w:rPr>
                        <w:drawing>
                          <wp:inline distT="0" distB="0" distL="0" distR="0" wp14:anchorId="23AB611F" wp14:editId="00B9B36A">
                            <wp:extent cx="546735" cy="534035"/>
                            <wp:effectExtent l="0" t="0" r="5715"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11"/>
                                    <a:stretch>
                                      <a:fillRect/>
                                    </a:stretch>
                                  </pic:blipFill>
                                  <pic:spPr>
                                    <a:xfrm>
                                      <a:off x="0" y="0"/>
                                      <a:ext cx="546735" cy="534035"/>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73C14B13" wp14:editId="11CC696B">
                <wp:simplePos x="0" y="0"/>
                <wp:positionH relativeFrom="column">
                  <wp:posOffset>236220</wp:posOffset>
                </wp:positionH>
                <wp:positionV relativeFrom="paragraph">
                  <wp:posOffset>221615</wp:posOffset>
                </wp:positionV>
                <wp:extent cx="1399540" cy="520711"/>
                <wp:effectExtent l="0" t="0" r="0" b="0"/>
                <wp:wrapNone/>
                <wp:docPr id="7" name="正方形/長方形 4"/>
                <wp:cNvGraphicFramePr/>
                <a:graphic xmlns:a="http://schemas.openxmlformats.org/drawingml/2006/main">
                  <a:graphicData uri="http://schemas.microsoft.com/office/word/2010/wordprocessingShape">
                    <wps:wsp>
                      <wps:cNvSpPr/>
                      <wps:spPr bwMode="gray">
                        <a:xfrm>
                          <a:off x="0" y="0"/>
                          <a:ext cx="1399540" cy="520711"/>
                        </a:xfrm>
                        <a:prstGeom prst="rect">
                          <a:avLst/>
                        </a:prstGeom>
                      </wps:spPr>
                      <wps:txbx>
                        <w:txbxContent>
                          <w:p w14:paraId="7A5CD9AB" w14:textId="77777777" w:rsidR="00830769" w:rsidRPr="005D7501"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小規模事業者</w:t>
                            </w:r>
                          </w:p>
                          <w:p w14:paraId="571772B3" w14:textId="77777777" w:rsidR="00830769" w:rsidRPr="005D7501"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持続化補助金</w:t>
                            </w:r>
                          </w:p>
                          <w:p w14:paraId="3998275A" w14:textId="77777777" w:rsidR="00830769" w:rsidRPr="005D7501"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リーフレット</w:t>
                            </w:r>
                          </w:p>
                        </w:txbxContent>
                      </wps:txbx>
                      <wps:bodyPr wrap="square">
                        <a:noAutofit/>
                      </wps:bodyPr>
                    </wps:wsp>
                  </a:graphicData>
                </a:graphic>
              </wp:anchor>
            </w:drawing>
          </mc:Choice>
          <mc:Fallback>
            <w:pict>
              <v:rect w14:anchorId="73C14B13" id="正方形/長方形 4" o:spid="_x0000_s1028" style="position:absolute;left:0;text-align:left;margin-left:18.6pt;margin-top:17.45pt;width:110.2pt;height:41pt;z-index:251698176;visibility:visible;mso-wrap-style:square;mso-wrap-distance-left:9pt;mso-wrap-distance-top:0;mso-wrap-distance-right:9pt;mso-wrap-distance-bottom:0;mso-position-horizontal:absolute;mso-position-horizontal-relative:text;mso-position-vertical:absolute;mso-position-vertical-relative:text;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1diqgEAAA4DAAAOAAAAZHJzL2Uyb0RvYy54bWysUktu2zAQ3RfoHQjuY0rOrxEsBwWCdpOk&#10;AdIegKZIi4DIYUnakg/SHiBZd11kkeMkQG/RIWW7RbMLuiFmODOP773h7HwwHVlLHzTYmpaTghJp&#10;BTTaLmv65fOHg3eUhMhtwzuwsqYbGej5/O2bWe8qOYUWukZ6giA2VL2raRujqxgLopWGhwk4abGo&#10;wBseMfVL1njeI7rp2LQoTlgPvnEehAwBby/GIp1nfKWkiJ+UCjKSrqbILebT53ORTjaf8WrpuWu1&#10;2NLgr2BhuLb46B7qgkdOVl6/gDJaeAig4kSAYaCUFjJrQDVl8Y+a25Y7mbWgOcHtbQr/D1Zcr288&#10;0U1NTymx3OCKnn/cP39/eHq8Y7++/RwjcpSM6l2osP/W3fhtFjAki/4KGpxDFzfZg0F5k7xAdWTI&#10;Vm/2VsshEoGX5eHZ2fERbkRg7XhanJZleoLxajftfIgfJRiSgpp6XGVG5+vLEMfWXQvOJW6Jzcgy&#10;Doshi5rueC+g2SDXHjdd0/B1xX0yllcW3q8iKJ0RE8jYuEVE0zOn7QdJW/07z11/vvH8NwAAAP//&#10;AwBQSwMEFAAGAAgAAAAhAEBtN87fAAAACQEAAA8AAABkcnMvZG93bnJldi54bWxMj8FKw0AQhu+C&#10;77CM4M1uGjU1MZtSCxUpIlrF8yS7JsHsbNjdtunbO570NAz/xz/flMvJDuJgfOgdKZjPEhCGGqd7&#10;ahV8vG+u7kCEiKRxcGQUnEyAZXV+VmKh3ZHezGEXW8ElFApU0MU4FlKGpjMWw8yNhjj7ct5i5NW3&#10;Uns8crkdZJokmbTYE1/ocDTrzjTfu71V8Lp9eTrln4lb4fOGHnxuh3X9qNTlxbS6BxHNFP9g+NVn&#10;dajYqXZ70kEMCq4XKZM8b3IQnKe3iwxEzeA8y0FWpfz/QfUDAAD//wMAUEsBAi0AFAAGAAgAAAAh&#10;ALaDOJL+AAAA4QEAABMAAAAAAAAAAAAAAAAAAAAAAFtDb250ZW50X1R5cGVzXS54bWxQSwECLQAU&#10;AAYACAAAACEAOP0h/9YAAACUAQAACwAAAAAAAAAAAAAAAAAvAQAAX3JlbHMvLnJlbHNQSwECLQAU&#10;AAYACAAAACEAeN9XYqoBAAAOAwAADgAAAAAAAAAAAAAAAAAuAgAAZHJzL2Uyb0RvYy54bWxQSwEC&#10;LQAUAAYACAAAACEAQG03zt8AAAAJAQAADwAAAAAAAAAAAAAAAAAEBAAAZHJzL2Rvd25yZXYueG1s&#10;UEsFBgAAAAAEAAQA8wAAABAFAAAAAA==&#10;" filled="f" stroked="f">
                <v:textbox>
                  <w:txbxContent>
                    <w:p w14:paraId="7A5CD9AB" w14:textId="77777777" w:rsidR="00830769" w:rsidRPr="005D7501"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小規模事業者</w:t>
                      </w:r>
                    </w:p>
                    <w:p w14:paraId="571772B3" w14:textId="77777777" w:rsidR="00830769" w:rsidRPr="005D7501"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持続化補助金</w:t>
                      </w:r>
                    </w:p>
                    <w:p w14:paraId="3998275A" w14:textId="77777777" w:rsidR="00830769" w:rsidRPr="005D7501"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5D7501">
                        <w:rPr>
                          <w:rFonts w:ascii="HG丸ｺﾞｼｯｸM-PRO" w:eastAsia="HG丸ｺﾞｼｯｸM-PRO" w:hAnsi="HG丸ｺﾞｼｯｸM-PRO" w:cs="Times New Roman" w:hint="eastAsia"/>
                          <w:color w:val="3B3838" w:themeColor="background2" w:themeShade="40"/>
                          <w:kern w:val="2"/>
                          <w:sz w:val="16"/>
                          <w:szCs w:val="16"/>
                        </w:rPr>
                        <w:t>リーフレット</w:t>
                      </w:r>
                    </w:p>
                  </w:txbxContent>
                </v:textbox>
              </v:rect>
            </w:pict>
          </mc:Fallback>
        </mc:AlternateContent>
      </w:r>
    </w:p>
    <w:p w14:paraId="690673F8" w14:textId="5273003D" w:rsidR="00830769" w:rsidRDefault="00830769" w:rsidP="00830769">
      <w:pPr>
        <w:ind w:leftChars="300" w:left="630" w:firstLineChars="100" w:firstLine="210"/>
        <w:rPr>
          <w:rFonts w:asciiTheme="majorEastAsia" w:eastAsiaTheme="majorEastAsia" w:hAnsiTheme="majorEastAsia"/>
          <w:sz w:val="24"/>
          <w:szCs w:val="24"/>
        </w:rPr>
      </w:pPr>
      <w:r>
        <w:rPr>
          <w:noProof/>
        </w:rPr>
        <mc:AlternateContent>
          <mc:Choice Requires="wps">
            <w:drawing>
              <wp:anchor distT="0" distB="0" distL="114300" distR="114300" simplePos="0" relativeHeight="251702272" behindDoc="0" locked="0" layoutInCell="1" allowOverlap="1" wp14:anchorId="35ADF269" wp14:editId="7CE48DB5">
                <wp:simplePos x="0" y="0"/>
                <wp:positionH relativeFrom="column">
                  <wp:posOffset>3234837</wp:posOffset>
                </wp:positionH>
                <wp:positionV relativeFrom="paragraph">
                  <wp:posOffset>76835</wp:posOffset>
                </wp:positionV>
                <wp:extent cx="1100329" cy="338554"/>
                <wp:effectExtent l="0" t="0" r="0" b="0"/>
                <wp:wrapNone/>
                <wp:docPr id="10" name="テキスト ボックス 5"/>
                <wp:cNvGraphicFramePr/>
                <a:graphic xmlns:a="http://schemas.openxmlformats.org/drawingml/2006/main">
                  <a:graphicData uri="http://schemas.microsoft.com/office/word/2010/wordprocessingShape">
                    <wps:wsp>
                      <wps:cNvSpPr txBox="1"/>
                      <wps:spPr>
                        <a:xfrm>
                          <a:off x="0" y="0"/>
                          <a:ext cx="1100329" cy="338554"/>
                        </a:xfrm>
                        <a:prstGeom prst="rect">
                          <a:avLst/>
                        </a:prstGeom>
                        <a:noFill/>
                      </wps:spPr>
                      <wps:txbx>
                        <w:txbxContent>
                          <w:p w14:paraId="4593A155" w14:textId="77777777" w:rsidR="00830769" w:rsidRPr="003F383A"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3F383A">
                              <w:rPr>
                                <w:rFonts w:ascii="HG丸ｺﾞｼｯｸM-PRO" w:eastAsia="HG丸ｺﾞｼｯｸM-PRO" w:hAnsi="HG丸ｺﾞｼｯｸM-PRO" w:cs="Meiryo UI" w:hint="eastAsia"/>
                                <w:color w:val="000000" w:themeColor="text1"/>
                                <w:kern w:val="24"/>
                                <w:sz w:val="16"/>
                                <w:szCs w:val="16"/>
                              </w:rPr>
                              <w:t>IT導入補助金</w:t>
                            </w:r>
                          </w:p>
                          <w:p w14:paraId="4BA107F4" w14:textId="77777777" w:rsidR="00830769" w:rsidRPr="003F383A"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3F383A">
                              <w:rPr>
                                <w:rFonts w:ascii="HG丸ｺﾞｼｯｸM-PRO" w:eastAsia="HG丸ｺﾞｼｯｸM-PRO" w:hAnsi="HG丸ｺﾞｼｯｸM-PRO" w:cs="Meiryo UI" w:hint="eastAsia"/>
                                <w:color w:val="000000" w:themeColor="text1"/>
                                <w:kern w:val="24"/>
                                <w:sz w:val="16"/>
                                <w:szCs w:val="16"/>
                              </w:rPr>
                              <w:t>リーフレット</w:t>
                            </w:r>
                          </w:p>
                        </w:txbxContent>
                      </wps:txbx>
                      <wps:bodyPr wrap="square" rtlCol="0">
                        <a:spAutoFit/>
                      </wps:bodyPr>
                    </wps:wsp>
                  </a:graphicData>
                </a:graphic>
              </wp:anchor>
            </w:drawing>
          </mc:Choice>
          <mc:Fallback>
            <w:pict>
              <v:shape w14:anchorId="35ADF269" id="テキスト ボックス 5" o:spid="_x0000_s1029" type="#_x0000_t202" style="position:absolute;left:0;text-align:left;margin-left:254.7pt;margin-top:6.05pt;width:86.65pt;height:26.65pt;z-index:251702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odStQEAACcDAAAOAAAAZHJzL2Uyb0RvYy54bWysUs2O0zAQviPxDpbvNGlL0RI1XQGr5YIA&#10;adkHcB2nsRR7jMdt0msjIR6CV0B75nnyIozdn13BDXEZe2Y833zzjZfXvWnZTnnUYEs+neScKSuh&#10;0nZT8vsvty+uOMMgbCVasKrke4X8evX82bJzhZpBA22lPCMQi0XnSt6E4IosQ9koI3ACTllK1uCN&#10;COT6TVZ50RG6abNZnr/KOvCV8yAVIkVvjkm+Svh1rWT4VNeoAmtLTtxCsj7ZdbTZaimKjReu0fJE&#10;Q/wDCyO0paYXqBsRBNt6/ReU0dIDQh0mEkwGda2lSjPQNNP8j2nuGuFUmoXEQXeRCf8frPy4++yZ&#10;rmh3JI8VhnY0Dt/Gw8/x8GscvrNx+DEOw3h4IJ8tol6dw4LK7hwVhv4t9FR7jiMFowx97U08aUBG&#10;eYLeX9RWfWAyFk3zfD57zZmk3Hx+tVi8jDDZY7XzGN4rMCxeSu5pm0lksfuA4fj0/CQ2s3Cr2zbG&#10;I8UjlXgL/bpPI87PNNdQ7Yl9R3svOX7dCq8486F9B+mbRDB0b7aBAFOfiHKsOYHTNhLT08+J637q&#10;p1eP/3v1GwAA//8DAFBLAwQUAAYACAAAACEAUbjaLt4AAAAJAQAADwAAAGRycy9kb3ducmV2Lnht&#10;bEyPTU/DMAyG70j8h8hI3Fjaah2jazpNfEgcuGyUu9d4TUWTVE22dv8ec4KbrffR68fldra9uNAY&#10;Ou8UpIsEBLnG6861CurPt4c1iBDRaey9IwVXCrCtbm9KLLSf3J4uh9gKLnGhQAUmxqGQMjSGLIaF&#10;H8hxdvKjxcjr2Eo94sTltpdZkqykxc7xBYMDPRtqvg9nqyBGvUuv9asN71/zx8tkkibHWqn7u3m3&#10;ARFpjn8w/OqzOlTsdPRnp4PoFeTJ05JRDrIUBAOrdfYI4shDvgRZlfL/B9UPAAAA//8DAFBLAQIt&#10;ABQABgAIAAAAIQC2gziS/gAAAOEBAAATAAAAAAAAAAAAAAAAAAAAAABbQ29udGVudF9UeXBlc10u&#10;eG1sUEsBAi0AFAAGAAgAAAAhADj9If/WAAAAlAEAAAsAAAAAAAAAAAAAAAAALwEAAF9yZWxzLy5y&#10;ZWxzUEsBAi0AFAAGAAgAAAAhACruh1K1AQAAJwMAAA4AAAAAAAAAAAAAAAAALgIAAGRycy9lMm9E&#10;b2MueG1sUEsBAi0AFAAGAAgAAAAhAFG42i7eAAAACQEAAA8AAAAAAAAAAAAAAAAADwQAAGRycy9k&#10;b3ducmV2LnhtbFBLBQYAAAAABAAEAPMAAAAaBQAAAAA=&#10;" filled="f" stroked="f">
                <v:textbox style="mso-fit-shape-to-text:t">
                  <w:txbxContent>
                    <w:p w14:paraId="4593A155" w14:textId="77777777" w:rsidR="00830769" w:rsidRPr="003F383A"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3F383A">
                        <w:rPr>
                          <w:rFonts w:ascii="HG丸ｺﾞｼｯｸM-PRO" w:eastAsia="HG丸ｺﾞｼｯｸM-PRO" w:hAnsi="HG丸ｺﾞｼｯｸM-PRO" w:cs="Meiryo UI" w:hint="eastAsia"/>
                          <w:color w:val="000000" w:themeColor="text1"/>
                          <w:kern w:val="24"/>
                          <w:sz w:val="16"/>
                          <w:szCs w:val="16"/>
                        </w:rPr>
                        <w:t>IT</w:t>
                      </w:r>
                      <w:r w:rsidRPr="003F383A">
                        <w:rPr>
                          <w:rFonts w:ascii="HG丸ｺﾞｼｯｸM-PRO" w:eastAsia="HG丸ｺﾞｼｯｸM-PRO" w:hAnsi="HG丸ｺﾞｼｯｸM-PRO" w:cs="Meiryo UI" w:hint="eastAsia"/>
                          <w:color w:val="000000" w:themeColor="text1"/>
                          <w:kern w:val="24"/>
                          <w:sz w:val="16"/>
                          <w:szCs w:val="16"/>
                        </w:rPr>
                        <w:t>導入補助金</w:t>
                      </w:r>
                    </w:p>
                    <w:p w14:paraId="4BA107F4" w14:textId="77777777" w:rsidR="00830769" w:rsidRPr="003F383A" w:rsidRDefault="00830769" w:rsidP="00830769">
                      <w:pPr>
                        <w:pStyle w:val="Web"/>
                        <w:spacing w:before="0" w:beforeAutospacing="0" w:after="0" w:afterAutospacing="0" w:line="200" w:lineRule="exact"/>
                        <w:jc w:val="center"/>
                        <w:rPr>
                          <w:rFonts w:ascii="HG丸ｺﾞｼｯｸM-PRO" w:eastAsia="HG丸ｺﾞｼｯｸM-PRO" w:hAnsi="HG丸ｺﾞｼｯｸM-PRO"/>
                        </w:rPr>
                      </w:pPr>
                      <w:r w:rsidRPr="003F383A">
                        <w:rPr>
                          <w:rFonts w:ascii="HG丸ｺﾞｼｯｸM-PRO" w:eastAsia="HG丸ｺﾞｼｯｸM-PRO" w:hAnsi="HG丸ｺﾞｼｯｸM-PRO" w:cs="Meiryo UI" w:hint="eastAsia"/>
                          <w:color w:val="000000" w:themeColor="text1"/>
                          <w:kern w:val="24"/>
                          <w:sz w:val="16"/>
                          <w:szCs w:val="16"/>
                        </w:rPr>
                        <w:t>リーフレット</w:t>
                      </w:r>
                    </w:p>
                  </w:txbxContent>
                </v:textbox>
              </v:shape>
            </w:pict>
          </mc:Fallback>
        </mc:AlternateContent>
      </w:r>
    </w:p>
    <w:p w14:paraId="379BEC34" w14:textId="2D2A1FC1" w:rsidR="00830769" w:rsidRPr="00C66817" w:rsidRDefault="00830769" w:rsidP="00830769">
      <w:pPr>
        <w:ind w:left="720" w:hangingChars="300" w:hanging="720"/>
        <w:rPr>
          <w:rFonts w:asciiTheme="majorEastAsia" w:eastAsiaTheme="majorEastAsia" w:hAnsiTheme="majorEastAsia"/>
          <w:sz w:val="24"/>
          <w:szCs w:val="24"/>
        </w:rPr>
      </w:pPr>
    </w:p>
    <w:p w14:paraId="02952E5D" w14:textId="6D8275AF" w:rsidR="00830769" w:rsidRDefault="00830769" w:rsidP="00903414">
      <w:pPr>
        <w:rPr>
          <w:rFonts w:asciiTheme="majorEastAsia" w:eastAsiaTheme="majorEastAsia" w:hAnsiTheme="majorEastAsia"/>
          <w:sz w:val="24"/>
          <w:szCs w:val="24"/>
        </w:rPr>
      </w:pPr>
    </w:p>
    <w:p w14:paraId="576B7951" w14:textId="361AA5C3" w:rsidR="00830769" w:rsidRPr="008D615C" w:rsidRDefault="00830769" w:rsidP="00830769">
      <w:pPr>
        <w:rPr>
          <w:rFonts w:asciiTheme="majorEastAsia" w:eastAsiaTheme="majorEastAsia" w:hAnsiTheme="majorEastAsia"/>
          <w:sz w:val="24"/>
          <w:szCs w:val="24"/>
        </w:rPr>
      </w:pPr>
      <w:r>
        <w:rPr>
          <w:rFonts w:asciiTheme="majorEastAsia" w:eastAsiaTheme="majorEastAsia" w:hAnsiTheme="majorEastAsia" w:hint="eastAsia"/>
          <w:sz w:val="24"/>
          <w:szCs w:val="24"/>
        </w:rPr>
        <w:t>３</w:t>
      </w:r>
      <w:r w:rsidRPr="00851C2B">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インボイス制度に向けた準備</w:t>
      </w:r>
    </w:p>
    <w:p w14:paraId="38F0741D" w14:textId="77777777" w:rsidR="00FF3020" w:rsidRDefault="00FF3020" w:rsidP="00FF3020">
      <w:pPr>
        <w:ind w:firstLineChars="100" w:firstLine="240"/>
        <w:rPr>
          <w:rFonts w:asciiTheme="majorEastAsia" w:eastAsiaTheme="majorEastAsia" w:hAnsiTheme="majorEastAsia"/>
          <w:sz w:val="24"/>
          <w:szCs w:val="24"/>
        </w:rPr>
      </w:pPr>
      <w:r w:rsidRPr="00851C2B">
        <w:rPr>
          <w:rFonts w:asciiTheme="majorEastAsia" w:eastAsiaTheme="majorEastAsia" w:hAnsiTheme="majorEastAsia" w:hint="eastAsia"/>
          <w:sz w:val="24"/>
          <w:szCs w:val="24"/>
        </w:rPr>
        <w:t>⑴</w:t>
      </w:r>
      <w:r>
        <w:rPr>
          <w:rFonts w:asciiTheme="majorEastAsia" w:eastAsiaTheme="majorEastAsia" w:hAnsiTheme="majorEastAsia" w:hint="eastAsia"/>
          <w:sz w:val="24"/>
          <w:szCs w:val="24"/>
        </w:rPr>
        <w:t xml:space="preserve">　売手の留意点</w:t>
      </w:r>
    </w:p>
    <w:p w14:paraId="7BA34F41" w14:textId="77777777" w:rsidR="00FF3020" w:rsidRDefault="00FF3020" w:rsidP="00FF3020">
      <w:pPr>
        <w:ind w:leftChars="200" w:left="42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Pr>
          <w:rFonts w:asciiTheme="majorEastAsia" w:eastAsiaTheme="majorEastAsia" w:hAnsiTheme="majorEastAsia"/>
          <w:sz w:val="24"/>
          <w:szCs w:val="24"/>
        </w:rPr>
        <w:t>インボイス発行事業者には、</w:t>
      </w:r>
      <w:r w:rsidRPr="00851C2B">
        <w:rPr>
          <w:rFonts w:asciiTheme="majorEastAsia" w:eastAsiaTheme="majorEastAsia" w:hAnsiTheme="majorEastAsia" w:hint="eastAsia"/>
          <w:sz w:val="24"/>
          <w:szCs w:val="24"/>
        </w:rPr>
        <w:t>取引の相手方（課税事業者に限ります。）の求めに応じて、インボイスを交付</w:t>
      </w:r>
      <w:r>
        <w:rPr>
          <w:rFonts w:asciiTheme="majorEastAsia" w:eastAsiaTheme="majorEastAsia" w:hAnsiTheme="majorEastAsia" w:hint="eastAsia"/>
          <w:sz w:val="24"/>
          <w:szCs w:val="24"/>
        </w:rPr>
        <w:t>する義務と交付したインボイスの写しを保存する義務が課されます。</w:t>
      </w:r>
    </w:p>
    <w:p w14:paraId="43245ED5" w14:textId="77777777" w:rsidR="00FF3020" w:rsidRDefault="00FF3020" w:rsidP="00FF3020">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sz w:val="24"/>
          <w:szCs w:val="24"/>
        </w:rPr>
        <w:t>インボイス発行事業者となった場合、取引ごとにどのような書類を交付しているか確認し、どのように見直せばインボイスの記載要件を満たせるか</w:t>
      </w:r>
      <w:r>
        <w:rPr>
          <w:rFonts w:asciiTheme="majorEastAsia" w:eastAsiaTheme="majorEastAsia" w:hAnsiTheme="majorEastAsia" w:hint="eastAsia"/>
          <w:sz w:val="24"/>
          <w:szCs w:val="24"/>
        </w:rPr>
        <w:t>について</w:t>
      </w:r>
      <w:r>
        <w:rPr>
          <w:rFonts w:asciiTheme="majorEastAsia" w:eastAsiaTheme="majorEastAsia" w:hAnsiTheme="majorEastAsia"/>
          <w:sz w:val="24"/>
          <w:szCs w:val="24"/>
        </w:rPr>
        <w:t>検討</w:t>
      </w:r>
      <w:r>
        <w:rPr>
          <w:rFonts w:asciiTheme="majorEastAsia" w:eastAsiaTheme="majorEastAsia" w:hAnsiTheme="majorEastAsia" w:hint="eastAsia"/>
          <w:sz w:val="24"/>
          <w:szCs w:val="24"/>
        </w:rPr>
        <w:t>する必要があります（図２）。</w:t>
      </w:r>
    </w:p>
    <w:p w14:paraId="6556F2B5" w14:textId="77777777" w:rsidR="00FF3020" w:rsidRDefault="00FF3020" w:rsidP="00FF3020">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なお、</w:t>
      </w:r>
      <w:r w:rsidRPr="00C84FB0">
        <w:rPr>
          <w:rFonts w:asciiTheme="majorEastAsia" w:eastAsiaTheme="majorEastAsia" w:hAnsiTheme="majorEastAsia" w:hint="eastAsia"/>
          <w:sz w:val="24"/>
          <w:szCs w:val="24"/>
        </w:rPr>
        <w:t>全ての取引について対応をする必要は</w:t>
      </w:r>
      <w:r>
        <w:rPr>
          <w:rFonts w:asciiTheme="majorEastAsia" w:eastAsiaTheme="majorEastAsia" w:hAnsiTheme="majorEastAsia" w:hint="eastAsia"/>
          <w:sz w:val="24"/>
          <w:szCs w:val="24"/>
        </w:rPr>
        <w:t>なく、</w:t>
      </w:r>
      <w:r w:rsidRPr="00C84FB0">
        <w:rPr>
          <w:rFonts w:asciiTheme="majorEastAsia" w:eastAsiaTheme="majorEastAsia" w:hAnsiTheme="majorEastAsia" w:hint="eastAsia"/>
          <w:sz w:val="24"/>
          <w:szCs w:val="24"/>
        </w:rPr>
        <w:t>消費者</w:t>
      </w:r>
      <w:r>
        <w:rPr>
          <w:rFonts w:asciiTheme="majorEastAsia" w:eastAsiaTheme="majorEastAsia" w:hAnsiTheme="majorEastAsia" w:hint="eastAsia"/>
          <w:sz w:val="24"/>
          <w:szCs w:val="24"/>
        </w:rPr>
        <w:t>に対して行っている</w:t>
      </w:r>
      <w:r w:rsidRPr="00C84FB0">
        <w:rPr>
          <w:rFonts w:asciiTheme="majorEastAsia" w:eastAsiaTheme="majorEastAsia" w:hAnsiTheme="majorEastAsia" w:hint="eastAsia"/>
          <w:sz w:val="24"/>
          <w:szCs w:val="24"/>
        </w:rPr>
        <w:t>サービスなど、その取引の相手方に</w:t>
      </w:r>
      <w:r>
        <w:rPr>
          <w:rFonts w:asciiTheme="majorEastAsia" w:eastAsiaTheme="majorEastAsia" w:hAnsiTheme="majorEastAsia" w:hint="eastAsia"/>
          <w:sz w:val="24"/>
          <w:szCs w:val="24"/>
        </w:rPr>
        <w:t>課税</w:t>
      </w:r>
      <w:r w:rsidRPr="00C84FB0">
        <w:rPr>
          <w:rFonts w:asciiTheme="majorEastAsia" w:eastAsiaTheme="majorEastAsia" w:hAnsiTheme="majorEastAsia" w:hint="eastAsia"/>
          <w:sz w:val="24"/>
          <w:szCs w:val="24"/>
        </w:rPr>
        <w:t>事業者がいない場合は、インボイスの交付を求められることはありません</w:t>
      </w:r>
      <w:r>
        <w:rPr>
          <w:rFonts w:asciiTheme="majorEastAsia" w:eastAsiaTheme="majorEastAsia" w:hAnsiTheme="majorEastAsia" w:hint="eastAsia"/>
          <w:sz w:val="24"/>
          <w:szCs w:val="24"/>
        </w:rPr>
        <w:t>。</w:t>
      </w:r>
      <w:r w:rsidRPr="00C84FB0">
        <w:rPr>
          <w:rFonts w:asciiTheme="majorEastAsia" w:eastAsiaTheme="majorEastAsia" w:hAnsiTheme="majorEastAsia" w:hint="eastAsia"/>
          <w:sz w:val="24"/>
          <w:szCs w:val="24"/>
        </w:rPr>
        <w:t>必ずしも、全ての課税取引に係る</w:t>
      </w:r>
      <w:r>
        <w:rPr>
          <w:rFonts w:asciiTheme="majorEastAsia" w:eastAsiaTheme="majorEastAsia" w:hAnsiTheme="majorEastAsia" w:hint="eastAsia"/>
          <w:sz w:val="24"/>
          <w:szCs w:val="24"/>
        </w:rPr>
        <w:t>書類等</w:t>
      </w:r>
      <w:r w:rsidRPr="00C84FB0">
        <w:rPr>
          <w:rFonts w:asciiTheme="majorEastAsia" w:eastAsiaTheme="majorEastAsia" w:hAnsiTheme="majorEastAsia" w:hint="eastAsia"/>
          <w:sz w:val="24"/>
          <w:szCs w:val="24"/>
        </w:rPr>
        <w:t>をインボイスとする必要は</w:t>
      </w:r>
      <w:r>
        <w:rPr>
          <w:rFonts w:asciiTheme="majorEastAsia" w:eastAsiaTheme="majorEastAsia" w:hAnsiTheme="majorEastAsia" w:hint="eastAsia"/>
          <w:sz w:val="24"/>
          <w:szCs w:val="24"/>
        </w:rPr>
        <w:t>ない点に留意し、対応が必要な取引とその相手を適切に把握することが重要です</w:t>
      </w:r>
      <w:r w:rsidRPr="00C84FB0">
        <w:rPr>
          <w:rFonts w:asciiTheme="majorEastAsia" w:eastAsiaTheme="majorEastAsia" w:hAnsiTheme="majorEastAsia" w:hint="eastAsia"/>
          <w:sz w:val="24"/>
          <w:szCs w:val="24"/>
        </w:rPr>
        <w:t>。</w:t>
      </w:r>
    </w:p>
    <w:p w14:paraId="674B40E3" w14:textId="77777777" w:rsidR="00E55C0E" w:rsidRDefault="00E55C0E" w:rsidP="00FF3020">
      <w:pPr>
        <w:ind w:firstLineChars="100" w:firstLine="240"/>
        <w:rPr>
          <w:rFonts w:asciiTheme="majorEastAsia" w:eastAsiaTheme="majorEastAsia" w:hAnsiTheme="majorEastAsia"/>
          <w:noProof/>
          <w:sz w:val="24"/>
          <w:szCs w:val="24"/>
        </w:rPr>
      </w:pPr>
    </w:p>
    <w:p w14:paraId="6392FA7E" w14:textId="352E4253" w:rsidR="00FF3020" w:rsidRDefault="00FF3020" w:rsidP="00FF3020">
      <w:pPr>
        <w:ind w:firstLineChars="100" w:firstLine="240"/>
        <w:rPr>
          <w:rFonts w:asciiTheme="majorEastAsia" w:eastAsiaTheme="majorEastAsia" w:hAnsiTheme="majorEastAsia"/>
          <w:sz w:val="24"/>
          <w:szCs w:val="24"/>
        </w:rPr>
      </w:pPr>
      <w:r>
        <w:rPr>
          <w:rFonts w:asciiTheme="majorEastAsia" w:eastAsiaTheme="majorEastAsia" w:hAnsiTheme="majorEastAsia"/>
          <w:noProof/>
          <w:sz w:val="24"/>
          <w:szCs w:val="24"/>
        </w:rPr>
        <w:t>（図</w:t>
      </w:r>
      <w:r>
        <w:rPr>
          <w:rFonts w:asciiTheme="majorEastAsia" w:eastAsiaTheme="majorEastAsia" w:hAnsiTheme="majorEastAsia" w:hint="eastAsia"/>
          <w:noProof/>
          <w:sz w:val="24"/>
          <w:szCs w:val="24"/>
        </w:rPr>
        <w:t>２</w:t>
      </w:r>
      <w:r>
        <w:rPr>
          <w:rFonts w:asciiTheme="majorEastAsia" w:eastAsiaTheme="majorEastAsia" w:hAnsiTheme="majorEastAsia"/>
          <w:noProof/>
          <w:sz w:val="24"/>
          <w:szCs w:val="24"/>
        </w:rPr>
        <w:t>）区分記載請求書とインボイスの記載事項</w:t>
      </w:r>
      <w:r>
        <w:rPr>
          <w:rFonts w:asciiTheme="majorEastAsia" w:eastAsiaTheme="majorEastAsia" w:hAnsiTheme="majorEastAsia"/>
          <w:noProof/>
          <w:sz w:val="24"/>
          <w:szCs w:val="24"/>
        </w:rPr>
        <w:drawing>
          <wp:anchor distT="0" distB="0" distL="114300" distR="114300" simplePos="0" relativeHeight="251705344" behindDoc="0" locked="0" layoutInCell="1" allowOverlap="1" wp14:anchorId="2AF5FCAA" wp14:editId="6D4618B1">
            <wp:simplePos x="0" y="0"/>
            <wp:positionH relativeFrom="column">
              <wp:posOffset>323215</wp:posOffset>
            </wp:positionH>
            <wp:positionV relativeFrom="paragraph">
              <wp:posOffset>225425</wp:posOffset>
            </wp:positionV>
            <wp:extent cx="4889500" cy="2202815"/>
            <wp:effectExtent l="0" t="0" r="1270" b="6350"/>
            <wp:wrapSquare wrapText="bothSides"/>
            <wp:docPr id="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7407BE5.tmp"/>
                    <pic:cNvPicPr/>
                  </pic:nvPicPr>
                  <pic:blipFill rotWithShape="1">
                    <a:blip r:embed="rId12">
                      <a:extLst>
                        <a:ext uri="{28A0092B-C50C-407E-A947-70E740481C1C}">
                          <a14:useLocalDpi xmlns:a14="http://schemas.microsoft.com/office/drawing/2010/main" val="0"/>
                        </a:ext>
                      </a:extLst>
                    </a:blip>
                    <a:srcRect l="32699" t="28777" r="15087" b="30616"/>
                    <a:stretch/>
                  </pic:blipFill>
                  <pic:spPr bwMode="auto">
                    <a:xfrm>
                      <a:off x="0" y="0"/>
                      <a:ext cx="4889500" cy="22028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C33DE34" w14:textId="77777777" w:rsidR="00E55C0E" w:rsidRDefault="00E55C0E" w:rsidP="00FF3020">
      <w:pPr>
        <w:ind w:firstLineChars="100" w:firstLine="240"/>
        <w:rPr>
          <w:rFonts w:asciiTheme="majorEastAsia" w:eastAsiaTheme="majorEastAsia" w:hAnsiTheme="majorEastAsia"/>
          <w:sz w:val="24"/>
          <w:szCs w:val="24"/>
        </w:rPr>
      </w:pPr>
    </w:p>
    <w:p w14:paraId="18A09BAA" w14:textId="77777777" w:rsidR="00FF3020" w:rsidRDefault="00FF3020" w:rsidP="00FF3020">
      <w:pPr>
        <w:ind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lastRenderedPageBreak/>
        <w:t>⑵</w:t>
      </w:r>
      <w:r>
        <w:rPr>
          <w:rFonts w:asciiTheme="majorEastAsia" w:eastAsiaTheme="majorEastAsia" w:hAnsiTheme="majorEastAsia"/>
          <w:sz w:val="24"/>
          <w:szCs w:val="24"/>
        </w:rPr>
        <w:t xml:space="preserve">　</w:t>
      </w:r>
      <w:r w:rsidRPr="00851C2B">
        <w:rPr>
          <w:rFonts w:asciiTheme="majorEastAsia" w:eastAsiaTheme="majorEastAsia" w:hAnsiTheme="majorEastAsia" w:hint="eastAsia"/>
          <w:sz w:val="24"/>
          <w:szCs w:val="24"/>
        </w:rPr>
        <w:t>買手の</w:t>
      </w:r>
      <w:r>
        <w:rPr>
          <w:rFonts w:asciiTheme="majorEastAsia" w:eastAsiaTheme="majorEastAsia" w:hAnsiTheme="majorEastAsia" w:hint="eastAsia"/>
          <w:sz w:val="24"/>
          <w:szCs w:val="24"/>
        </w:rPr>
        <w:t>留意点</w:t>
      </w:r>
    </w:p>
    <w:p w14:paraId="6480897E" w14:textId="68E97423" w:rsidR="00FF3020" w:rsidRDefault="00BD0D3C" w:rsidP="00FF3020">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必要に応じて、</w:t>
      </w:r>
      <w:r w:rsidR="00FF3020" w:rsidRPr="00851C2B">
        <w:rPr>
          <w:rFonts w:asciiTheme="majorEastAsia" w:eastAsiaTheme="majorEastAsia" w:hAnsiTheme="majorEastAsia" w:hint="eastAsia"/>
          <w:sz w:val="24"/>
          <w:szCs w:val="24"/>
        </w:rPr>
        <w:t>仕入先がインボイス発行事業者の登録を受けるか事前に確認し、</w:t>
      </w:r>
      <w:bookmarkStart w:id="2" w:name="_Hlk132717992"/>
      <w:r w:rsidR="002D10D0">
        <w:rPr>
          <w:rFonts w:asciiTheme="majorEastAsia" w:eastAsiaTheme="majorEastAsia" w:hAnsiTheme="majorEastAsia" w:hint="eastAsia"/>
          <w:sz w:val="24"/>
          <w:szCs w:val="24"/>
        </w:rPr>
        <w:t>仕入先がインボイス発行事業者となる場合は</w:t>
      </w:r>
      <w:bookmarkEnd w:id="2"/>
      <w:r w:rsidR="00FF3020" w:rsidRPr="00851C2B">
        <w:rPr>
          <w:rFonts w:asciiTheme="majorEastAsia" w:eastAsiaTheme="majorEastAsia" w:hAnsiTheme="majorEastAsia" w:hint="eastAsia"/>
          <w:sz w:val="24"/>
          <w:szCs w:val="24"/>
        </w:rPr>
        <w:t>何をインボイスとするか</w:t>
      </w:r>
      <w:r w:rsidR="002D10D0">
        <w:rPr>
          <w:rFonts w:asciiTheme="majorEastAsia" w:eastAsiaTheme="majorEastAsia" w:hAnsiTheme="majorEastAsia" w:hint="eastAsia"/>
          <w:sz w:val="24"/>
          <w:szCs w:val="24"/>
        </w:rPr>
        <w:t>、</w:t>
      </w:r>
      <w:r w:rsidR="00FF3020" w:rsidRPr="00851C2B">
        <w:rPr>
          <w:rFonts w:asciiTheme="majorEastAsia" w:eastAsiaTheme="majorEastAsia" w:hAnsiTheme="majorEastAsia" w:hint="eastAsia"/>
          <w:sz w:val="24"/>
          <w:szCs w:val="24"/>
        </w:rPr>
        <w:t>認識を統一</w:t>
      </w:r>
      <w:r w:rsidR="002D10D0">
        <w:rPr>
          <w:rFonts w:asciiTheme="majorEastAsia" w:eastAsiaTheme="majorEastAsia" w:hAnsiTheme="majorEastAsia" w:hint="eastAsia"/>
          <w:sz w:val="24"/>
          <w:szCs w:val="24"/>
        </w:rPr>
        <w:t>させておく</w:t>
      </w:r>
      <w:r w:rsidR="00FF3020">
        <w:rPr>
          <w:rFonts w:asciiTheme="majorEastAsia" w:eastAsiaTheme="majorEastAsia" w:hAnsiTheme="majorEastAsia" w:hint="eastAsia"/>
          <w:sz w:val="24"/>
          <w:szCs w:val="24"/>
        </w:rPr>
        <w:t>ことが</w:t>
      </w:r>
      <w:r w:rsidR="002D10D0">
        <w:rPr>
          <w:rFonts w:asciiTheme="majorEastAsia" w:eastAsiaTheme="majorEastAsia" w:hAnsiTheme="majorEastAsia" w:hint="eastAsia"/>
          <w:sz w:val="24"/>
          <w:szCs w:val="24"/>
        </w:rPr>
        <w:t>必要です</w:t>
      </w:r>
      <w:r w:rsidR="00FF3020">
        <w:rPr>
          <w:rFonts w:asciiTheme="majorEastAsia" w:eastAsiaTheme="majorEastAsia" w:hAnsiTheme="majorEastAsia" w:hint="eastAsia"/>
          <w:sz w:val="24"/>
          <w:szCs w:val="24"/>
        </w:rPr>
        <w:t>。</w:t>
      </w:r>
    </w:p>
    <w:p w14:paraId="3227A494" w14:textId="5F1952A8" w:rsidR="00FF3020" w:rsidRDefault="00FF3020" w:rsidP="00FF3020">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また、</w:t>
      </w:r>
      <w:r w:rsidRPr="00851C2B">
        <w:rPr>
          <w:rFonts w:asciiTheme="majorEastAsia" w:eastAsiaTheme="majorEastAsia" w:hAnsiTheme="majorEastAsia" w:hint="eastAsia"/>
          <w:sz w:val="24"/>
          <w:szCs w:val="24"/>
        </w:rPr>
        <w:t>仕入税額控除の適用を受けるためには、一定の事項が記載された帳簿とインボイスの保存が必要とな</w:t>
      </w:r>
      <w:r w:rsidR="00D70D99">
        <w:rPr>
          <w:rFonts w:asciiTheme="majorEastAsia" w:eastAsiaTheme="majorEastAsia" w:hAnsiTheme="majorEastAsia" w:hint="eastAsia"/>
          <w:sz w:val="24"/>
          <w:szCs w:val="24"/>
        </w:rPr>
        <w:t>ります</w:t>
      </w:r>
      <w:r>
        <w:rPr>
          <w:rFonts w:asciiTheme="majorEastAsia" w:eastAsiaTheme="majorEastAsia" w:hAnsiTheme="majorEastAsia" w:hint="eastAsia"/>
          <w:sz w:val="24"/>
          <w:szCs w:val="24"/>
        </w:rPr>
        <w:t>ので、免税事業者や消費者などインボイス</w:t>
      </w:r>
      <w:r w:rsidRPr="00851C2B">
        <w:rPr>
          <w:rFonts w:asciiTheme="majorEastAsia" w:eastAsiaTheme="majorEastAsia" w:hAnsiTheme="majorEastAsia" w:hint="eastAsia"/>
          <w:sz w:val="24"/>
          <w:szCs w:val="24"/>
        </w:rPr>
        <w:t>発行事業者以外の者から行った課税仕入れは、原則として仕入税額控除の適用を受けることができ</w:t>
      </w:r>
      <w:r>
        <w:rPr>
          <w:rFonts w:asciiTheme="majorEastAsia" w:eastAsiaTheme="majorEastAsia" w:hAnsiTheme="majorEastAsia" w:hint="eastAsia"/>
          <w:sz w:val="24"/>
          <w:szCs w:val="24"/>
        </w:rPr>
        <w:t>ません。</w:t>
      </w:r>
    </w:p>
    <w:p w14:paraId="35E19AA2" w14:textId="59210995" w:rsidR="00FF3020" w:rsidRDefault="00FF3020" w:rsidP="00FF3020">
      <w:pPr>
        <w:ind w:leftChars="200" w:left="420" w:firstLineChars="100" w:firstLine="240"/>
        <w:rPr>
          <w:rFonts w:asciiTheme="majorEastAsia" w:eastAsiaTheme="majorEastAsia" w:hAnsiTheme="majorEastAsia"/>
          <w:sz w:val="24"/>
          <w:szCs w:val="24"/>
        </w:rPr>
      </w:pPr>
      <w:r>
        <w:rPr>
          <w:rFonts w:asciiTheme="majorEastAsia" w:eastAsiaTheme="majorEastAsia" w:hAnsiTheme="majorEastAsia" w:hint="eastAsia"/>
          <w:sz w:val="24"/>
          <w:szCs w:val="24"/>
        </w:rPr>
        <w:t>なお、</w:t>
      </w:r>
      <w:r w:rsidRPr="00851C2B">
        <w:rPr>
          <w:rFonts w:asciiTheme="majorEastAsia" w:eastAsiaTheme="majorEastAsia" w:hAnsiTheme="majorEastAsia" w:hint="eastAsia"/>
          <w:sz w:val="24"/>
          <w:szCs w:val="24"/>
        </w:rPr>
        <w:t>簡易課税制度</w:t>
      </w:r>
      <w:r w:rsidR="00BD0D3C">
        <w:rPr>
          <w:rFonts w:asciiTheme="majorEastAsia" w:eastAsiaTheme="majorEastAsia" w:hAnsiTheme="majorEastAsia" w:hint="eastAsia"/>
          <w:sz w:val="24"/>
          <w:szCs w:val="24"/>
        </w:rPr>
        <w:t>や</w:t>
      </w:r>
      <w:r w:rsidR="00D37C02">
        <w:rPr>
          <w:rFonts w:asciiTheme="majorEastAsia" w:eastAsiaTheme="majorEastAsia" w:hAnsiTheme="majorEastAsia" w:hint="eastAsia"/>
          <w:sz w:val="24"/>
          <w:szCs w:val="24"/>
        </w:rPr>
        <w:t>後述の</w:t>
      </w:r>
      <w:r w:rsidR="00BD0D3C">
        <w:rPr>
          <w:rFonts w:asciiTheme="majorEastAsia" w:eastAsiaTheme="majorEastAsia" w:hAnsiTheme="majorEastAsia" w:hint="eastAsia"/>
          <w:sz w:val="24"/>
          <w:szCs w:val="24"/>
        </w:rPr>
        <w:t>２割特</w:t>
      </w:r>
      <w:bookmarkStart w:id="3" w:name="_GoBack"/>
      <w:bookmarkEnd w:id="3"/>
      <w:r w:rsidR="00BD0D3C">
        <w:rPr>
          <w:rFonts w:asciiTheme="majorEastAsia" w:eastAsiaTheme="majorEastAsia" w:hAnsiTheme="majorEastAsia" w:hint="eastAsia"/>
          <w:sz w:val="24"/>
          <w:szCs w:val="24"/>
        </w:rPr>
        <w:t>例</w:t>
      </w:r>
      <w:r>
        <w:rPr>
          <w:rFonts w:asciiTheme="majorEastAsia" w:eastAsiaTheme="majorEastAsia" w:hAnsiTheme="majorEastAsia" w:hint="eastAsia"/>
          <w:sz w:val="24"/>
          <w:szCs w:val="24"/>
        </w:rPr>
        <w:t>の</w:t>
      </w:r>
      <w:r w:rsidRPr="00851C2B">
        <w:rPr>
          <w:rFonts w:asciiTheme="majorEastAsia" w:eastAsiaTheme="majorEastAsia" w:hAnsiTheme="majorEastAsia" w:hint="eastAsia"/>
          <w:sz w:val="24"/>
          <w:szCs w:val="24"/>
        </w:rPr>
        <w:t>適用</w:t>
      </w:r>
      <w:r>
        <w:rPr>
          <w:rFonts w:asciiTheme="majorEastAsia" w:eastAsiaTheme="majorEastAsia" w:hAnsiTheme="majorEastAsia" w:hint="eastAsia"/>
          <w:sz w:val="24"/>
          <w:szCs w:val="24"/>
        </w:rPr>
        <w:t>を受ける</w:t>
      </w:r>
      <w:r w:rsidRPr="00851C2B">
        <w:rPr>
          <w:rFonts w:asciiTheme="majorEastAsia" w:eastAsiaTheme="majorEastAsia" w:hAnsiTheme="majorEastAsia" w:hint="eastAsia"/>
          <w:sz w:val="24"/>
          <w:szCs w:val="24"/>
        </w:rPr>
        <w:t>場合</w:t>
      </w:r>
      <w:r>
        <w:rPr>
          <w:rFonts w:asciiTheme="majorEastAsia" w:eastAsiaTheme="majorEastAsia" w:hAnsiTheme="majorEastAsia" w:hint="eastAsia"/>
          <w:sz w:val="24"/>
          <w:szCs w:val="24"/>
        </w:rPr>
        <w:t>には</w:t>
      </w:r>
      <w:r w:rsidRPr="00851C2B">
        <w:rPr>
          <w:rFonts w:asciiTheme="majorEastAsia" w:eastAsiaTheme="majorEastAsia" w:hAnsiTheme="majorEastAsia" w:hint="eastAsia"/>
          <w:sz w:val="24"/>
          <w:szCs w:val="24"/>
        </w:rPr>
        <w:t>、仕入税額控除の</w:t>
      </w:r>
      <w:r>
        <w:rPr>
          <w:rFonts w:asciiTheme="majorEastAsia" w:eastAsiaTheme="majorEastAsia" w:hAnsiTheme="majorEastAsia" w:hint="eastAsia"/>
          <w:sz w:val="24"/>
          <w:szCs w:val="24"/>
        </w:rPr>
        <w:t>適用を受ける</w:t>
      </w:r>
      <w:r w:rsidRPr="00851C2B">
        <w:rPr>
          <w:rFonts w:asciiTheme="majorEastAsia" w:eastAsiaTheme="majorEastAsia" w:hAnsiTheme="majorEastAsia" w:hint="eastAsia"/>
          <w:sz w:val="24"/>
          <w:szCs w:val="24"/>
        </w:rPr>
        <w:t>ためにインボイスの保存は不要です。</w:t>
      </w:r>
    </w:p>
    <w:p w14:paraId="4E9A4A56" w14:textId="77777777" w:rsidR="009B78F8" w:rsidRDefault="009B78F8" w:rsidP="009B78F8">
      <w:pPr>
        <w:ind w:leftChars="250" w:left="525" w:firstLineChars="100" w:firstLine="240"/>
        <w:rPr>
          <w:rFonts w:asciiTheme="majorEastAsia" w:eastAsiaTheme="majorEastAsia" w:hAnsiTheme="majorEastAsia"/>
          <w:sz w:val="24"/>
          <w:szCs w:val="24"/>
        </w:rPr>
      </w:pPr>
    </w:p>
    <w:p w14:paraId="14CCC409" w14:textId="195771DF" w:rsidR="00E1346C" w:rsidRPr="00E1346C" w:rsidRDefault="00D5400F" w:rsidP="00E1346C">
      <w:pPr>
        <w:rPr>
          <w:rFonts w:ascii="ＭＳ ゴシック" w:eastAsia="ＭＳ ゴシック" w:hAnsi="ＭＳ ゴシック"/>
          <w:sz w:val="24"/>
          <w:szCs w:val="24"/>
        </w:rPr>
      </w:pPr>
      <w:r>
        <w:rPr>
          <w:rFonts w:ascii="ＭＳ ゴシック" w:eastAsia="ＭＳ ゴシック" w:hAnsi="ＭＳ ゴシック" w:hint="eastAsia"/>
          <w:sz w:val="24"/>
          <w:szCs w:val="24"/>
        </w:rPr>
        <w:t>４</w:t>
      </w:r>
      <w:r w:rsidR="00E1346C" w:rsidRPr="00E1346C">
        <w:rPr>
          <w:rFonts w:ascii="ＭＳ ゴシック" w:eastAsia="ＭＳ ゴシック" w:hAnsi="ＭＳ ゴシック"/>
          <w:sz w:val="24"/>
          <w:szCs w:val="24"/>
        </w:rPr>
        <w:t xml:space="preserve">　令和５年度税制改正について</w:t>
      </w:r>
    </w:p>
    <w:p w14:paraId="55F30022" w14:textId="31392CAE" w:rsidR="006C013C" w:rsidRPr="006C013C" w:rsidRDefault="00E1346C" w:rsidP="006C013C">
      <w:pPr>
        <w:ind w:left="161" w:right="-1" w:hangingChars="67" w:hanging="161"/>
        <w:rPr>
          <w:rFonts w:ascii="ＭＳ ゴシック" w:eastAsia="ＭＳ ゴシック" w:hAnsi="ＭＳ ゴシック"/>
          <w:sz w:val="24"/>
          <w:szCs w:val="24"/>
        </w:rPr>
      </w:pPr>
      <w:r w:rsidRPr="00E1346C">
        <w:rPr>
          <w:rFonts w:ascii="ＭＳ ゴシック" w:eastAsia="ＭＳ ゴシック" w:hAnsi="ＭＳ ゴシック"/>
          <w:sz w:val="24"/>
          <w:szCs w:val="24"/>
        </w:rPr>
        <w:t xml:space="preserve">　　</w:t>
      </w:r>
      <w:r w:rsidR="006C013C" w:rsidRPr="006C013C">
        <w:rPr>
          <w:rFonts w:ascii="ＭＳ ゴシック" w:eastAsia="ＭＳ ゴシック" w:hAnsi="ＭＳ ゴシック" w:hint="eastAsia"/>
          <w:sz w:val="24"/>
          <w:szCs w:val="24"/>
        </w:rPr>
        <w:t>インボイス制度についての</w:t>
      </w:r>
      <w:r w:rsidR="00675D34">
        <w:rPr>
          <w:rFonts w:ascii="ＭＳ ゴシック" w:eastAsia="ＭＳ ゴシック" w:hAnsi="ＭＳ ゴシック" w:hint="eastAsia"/>
          <w:sz w:val="24"/>
          <w:szCs w:val="24"/>
        </w:rPr>
        <w:t>主な</w:t>
      </w:r>
      <w:r w:rsidR="006C013C" w:rsidRPr="006C013C">
        <w:rPr>
          <w:rFonts w:ascii="ＭＳ ゴシック" w:eastAsia="ＭＳ ゴシック" w:hAnsi="ＭＳ ゴシック" w:hint="eastAsia"/>
          <w:sz w:val="24"/>
          <w:szCs w:val="24"/>
        </w:rPr>
        <w:t>改正内容は以下のとおりです</w:t>
      </w:r>
      <w:r w:rsidR="00FC4D0D">
        <w:rPr>
          <w:rFonts w:ascii="ＭＳ ゴシック" w:eastAsia="ＭＳ ゴシック" w:hAnsi="ＭＳ ゴシック" w:hint="eastAsia"/>
          <w:sz w:val="24"/>
          <w:szCs w:val="24"/>
        </w:rPr>
        <w:t>（</w:t>
      </w:r>
      <w:r w:rsidR="004C202F">
        <w:rPr>
          <w:rFonts w:ascii="ＭＳ ゴシック" w:eastAsia="ＭＳ ゴシック" w:hAnsi="ＭＳ ゴシック" w:hint="eastAsia"/>
          <w:sz w:val="24"/>
          <w:szCs w:val="24"/>
        </w:rPr>
        <w:t>詳しい内容は国税庁ホームページ</w:t>
      </w:r>
      <w:r w:rsidR="00FC4D0D">
        <w:rPr>
          <w:rFonts w:ascii="ＭＳ ゴシック" w:eastAsia="ＭＳ ゴシック" w:hAnsi="ＭＳ ゴシック" w:hint="eastAsia"/>
          <w:sz w:val="24"/>
          <w:szCs w:val="24"/>
        </w:rPr>
        <w:t>参照）</w:t>
      </w:r>
      <w:r w:rsidR="004C202F">
        <w:rPr>
          <w:rFonts w:ascii="ＭＳ ゴシック" w:eastAsia="ＭＳ ゴシック" w:hAnsi="ＭＳ ゴシック" w:hint="eastAsia"/>
          <w:sz w:val="24"/>
          <w:szCs w:val="24"/>
        </w:rPr>
        <w:t>。</w:t>
      </w:r>
    </w:p>
    <w:p w14:paraId="600659DD" w14:textId="0840A12A" w:rsidR="00D20F93" w:rsidRDefault="006C013C" w:rsidP="006C013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⑴</w:t>
      </w:r>
      <w:r w:rsidRPr="006C013C">
        <w:rPr>
          <w:rFonts w:ascii="ＭＳ ゴシック" w:eastAsia="ＭＳ ゴシック" w:hAnsi="ＭＳ ゴシック" w:hint="eastAsia"/>
          <w:sz w:val="24"/>
          <w:szCs w:val="24"/>
        </w:rPr>
        <w:t xml:space="preserve">　</w:t>
      </w:r>
      <w:r w:rsidR="00D20F93" w:rsidRPr="00D20F93">
        <w:rPr>
          <w:rFonts w:ascii="ＭＳ ゴシック" w:eastAsia="ＭＳ ゴシック" w:hAnsi="ＭＳ ゴシック" w:hint="eastAsia"/>
          <w:sz w:val="24"/>
          <w:szCs w:val="24"/>
        </w:rPr>
        <w:t>２割特例</w:t>
      </w:r>
    </w:p>
    <w:p w14:paraId="1CAA9305" w14:textId="596E592D" w:rsidR="009B78F8" w:rsidRDefault="009B78F8" w:rsidP="009B78F8">
      <w:pPr>
        <w:ind w:leftChars="200" w:left="420" w:firstLineChars="100" w:firstLine="240"/>
        <w:rPr>
          <w:rFonts w:ascii="ＭＳ ゴシック" w:eastAsia="ＭＳ ゴシック" w:hAnsi="ＭＳ ゴシック"/>
          <w:sz w:val="24"/>
          <w:szCs w:val="24"/>
        </w:rPr>
      </w:pPr>
      <w:bookmarkStart w:id="4" w:name="_Hlk129953568"/>
      <w:r w:rsidRPr="00F847A2">
        <w:rPr>
          <w:rFonts w:ascii="ＭＳ ゴシック" w:eastAsia="ＭＳ ゴシック" w:hAnsi="ＭＳ ゴシック" w:hint="eastAsia"/>
          <w:sz w:val="24"/>
          <w:szCs w:val="24"/>
        </w:rPr>
        <w:t>令和５年10月１日から令和８年９月30日までの日の属する各課税期間において、免税事業者が</w:t>
      </w:r>
      <w:r>
        <w:rPr>
          <w:rFonts w:ascii="ＭＳ ゴシック" w:eastAsia="ＭＳ ゴシック" w:hAnsi="ＭＳ ゴシック" w:hint="eastAsia"/>
          <w:sz w:val="24"/>
          <w:szCs w:val="24"/>
        </w:rPr>
        <w:t>インボイス</w:t>
      </w:r>
      <w:r w:rsidRPr="00F847A2">
        <w:rPr>
          <w:rFonts w:ascii="ＭＳ ゴシック" w:eastAsia="ＭＳ ゴシック" w:hAnsi="ＭＳ ゴシック" w:hint="eastAsia"/>
          <w:sz w:val="24"/>
          <w:szCs w:val="24"/>
        </w:rPr>
        <w:t>発行事業者となる場合には、その課税期間における</w:t>
      </w:r>
      <w:r w:rsidR="00BD0D3C">
        <w:rPr>
          <w:rFonts w:ascii="ＭＳ ゴシック" w:eastAsia="ＭＳ ゴシック" w:hAnsi="ＭＳ ゴシック" w:hint="eastAsia"/>
          <w:sz w:val="24"/>
          <w:szCs w:val="24"/>
        </w:rPr>
        <w:t>納付税額を売上税額の２割（</w:t>
      </w:r>
      <w:r w:rsidRPr="00F847A2">
        <w:rPr>
          <w:rFonts w:ascii="ＭＳ ゴシック" w:eastAsia="ＭＳ ゴシック" w:hAnsi="ＭＳ ゴシック" w:hint="eastAsia"/>
          <w:sz w:val="24"/>
          <w:szCs w:val="24"/>
        </w:rPr>
        <w:t>課税標準額に対する消費税額から控除する金額を、当該課税標準額に対する消費税額に８割を乗じた額</w:t>
      </w:r>
      <w:bookmarkStart w:id="5" w:name="_Hlk129962048"/>
      <w:r w:rsidR="00BD0D3C">
        <w:rPr>
          <w:rFonts w:ascii="ＭＳ ゴシック" w:eastAsia="ＭＳ ゴシック" w:hAnsi="ＭＳ ゴシック" w:hint="eastAsia"/>
          <w:sz w:val="24"/>
          <w:szCs w:val="24"/>
        </w:rPr>
        <w:t>とされます。）</w:t>
      </w:r>
      <w:bookmarkEnd w:id="5"/>
      <w:r w:rsidRPr="00F847A2">
        <w:rPr>
          <w:rFonts w:ascii="ＭＳ ゴシック" w:eastAsia="ＭＳ ゴシック" w:hAnsi="ＭＳ ゴシック" w:hint="eastAsia"/>
          <w:sz w:val="24"/>
          <w:szCs w:val="24"/>
        </w:rPr>
        <w:t>とする経過措置が設けられ</w:t>
      </w:r>
      <w:r>
        <w:rPr>
          <w:rFonts w:ascii="ＭＳ ゴシック" w:eastAsia="ＭＳ ゴシック" w:hAnsi="ＭＳ ゴシック" w:hint="eastAsia"/>
          <w:sz w:val="24"/>
          <w:szCs w:val="24"/>
        </w:rPr>
        <w:t>ました。</w:t>
      </w:r>
    </w:p>
    <w:bookmarkEnd w:id="4"/>
    <w:p w14:paraId="7FC87704" w14:textId="32738866" w:rsidR="006C013C" w:rsidRPr="00D20F93" w:rsidRDefault="006C013C" w:rsidP="006C013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⑵　</w:t>
      </w:r>
      <w:r w:rsidR="00D20F93" w:rsidRPr="00D20F93">
        <w:rPr>
          <w:rFonts w:ascii="ＭＳ ゴシック" w:eastAsia="ＭＳ ゴシック" w:hAnsi="ＭＳ ゴシック" w:hint="eastAsia"/>
          <w:sz w:val="24"/>
          <w:szCs w:val="24"/>
        </w:rPr>
        <w:t>少額特例</w:t>
      </w:r>
    </w:p>
    <w:p w14:paraId="10DD003E" w14:textId="73233930" w:rsidR="009B78F8" w:rsidRPr="006C013C" w:rsidRDefault="009B78F8" w:rsidP="009B78F8">
      <w:pPr>
        <w:ind w:leftChars="200" w:left="420" w:firstLineChars="100" w:firstLine="240"/>
        <w:rPr>
          <w:rFonts w:ascii="ＭＳ ゴシック" w:eastAsia="ＭＳ ゴシック" w:hAnsi="ＭＳ ゴシック"/>
          <w:sz w:val="24"/>
          <w:szCs w:val="24"/>
        </w:rPr>
      </w:pPr>
      <w:bookmarkStart w:id="6" w:name="_Hlk129953591"/>
      <w:r w:rsidRPr="00F847A2">
        <w:rPr>
          <w:rFonts w:ascii="ＭＳ ゴシック" w:eastAsia="ＭＳ ゴシック" w:hAnsi="ＭＳ ゴシック" w:hint="eastAsia"/>
          <w:sz w:val="24"/>
          <w:szCs w:val="24"/>
        </w:rPr>
        <w:t>基準期間における課税売上高が１億円以下又は特定期間における課税売上高が５千万円以下である事業者が、令和５年10月１日から令和11年９月30日までの間に行う課税仕入れについて、</w:t>
      </w:r>
      <w:r>
        <w:rPr>
          <w:rFonts w:ascii="ＭＳ ゴシック" w:eastAsia="ＭＳ ゴシック" w:hAnsi="ＭＳ ゴシック" w:hint="eastAsia"/>
          <w:sz w:val="24"/>
          <w:szCs w:val="24"/>
        </w:rPr>
        <w:t>その</w:t>
      </w:r>
      <w:r w:rsidRPr="00F847A2">
        <w:rPr>
          <w:rFonts w:ascii="ＭＳ ゴシック" w:eastAsia="ＭＳ ゴシック" w:hAnsi="ＭＳ ゴシック" w:hint="eastAsia"/>
          <w:sz w:val="24"/>
          <w:szCs w:val="24"/>
        </w:rPr>
        <w:t>課税仕入れに係る支払対価の額（税込）が１万円未満である場合には、</w:t>
      </w:r>
      <w:r w:rsidR="00BD0D3C">
        <w:rPr>
          <w:rFonts w:ascii="ＭＳ ゴシック" w:eastAsia="ＭＳ ゴシック" w:hAnsi="ＭＳ ゴシック" w:hint="eastAsia"/>
          <w:sz w:val="24"/>
          <w:szCs w:val="24"/>
        </w:rPr>
        <w:t>インボイスの保存がなくても、</w:t>
      </w:r>
      <w:r w:rsidRPr="00F847A2">
        <w:rPr>
          <w:rFonts w:ascii="ＭＳ ゴシック" w:eastAsia="ＭＳ ゴシック" w:hAnsi="ＭＳ ゴシック" w:hint="eastAsia"/>
          <w:sz w:val="24"/>
          <w:szCs w:val="24"/>
        </w:rPr>
        <w:t>一定の帳簿のみの保存により、仕入税額控除の適用を受けることができる経過措置が設けられ</w:t>
      </w:r>
      <w:r>
        <w:rPr>
          <w:rFonts w:ascii="ＭＳ ゴシック" w:eastAsia="ＭＳ ゴシック" w:hAnsi="ＭＳ ゴシック" w:hint="eastAsia"/>
          <w:sz w:val="24"/>
          <w:szCs w:val="24"/>
        </w:rPr>
        <w:t>ました。</w:t>
      </w:r>
      <w:bookmarkEnd w:id="6"/>
    </w:p>
    <w:p w14:paraId="488AE24B" w14:textId="76AA9F61" w:rsidR="006C013C" w:rsidRPr="00D20F93" w:rsidRDefault="006C013C" w:rsidP="006C013C">
      <w:pPr>
        <w:ind w:leftChars="100" w:left="450" w:hangingChars="100" w:hanging="240"/>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⑶　</w:t>
      </w:r>
      <w:r w:rsidR="00D20F93" w:rsidRPr="00D20F93">
        <w:rPr>
          <w:rFonts w:ascii="ＭＳ ゴシック" w:eastAsia="ＭＳ ゴシック" w:hAnsi="ＭＳ ゴシック" w:hint="eastAsia"/>
          <w:sz w:val="24"/>
          <w:szCs w:val="24"/>
        </w:rPr>
        <w:t>少額な返還インボイスの交付義務免除</w:t>
      </w:r>
    </w:p>
    <w:p w14:paraId="0C3378E7" w14:textId="46A53A2E" w:rsidR="009B78F8" w:rsidRDefault="009B78F8" w:rsidP="009B78F8">
      <w:pPr>
        <w:ind w:leftChars="200" w:left="420" w:firstLineChars="100" w:firstLine="240"/>
        <w:rPr>
          <w:rFonts w:asciiTheme="majorEastAsia" w:eastAsiaTheme="majorEastAsia" w:hAnsiTheme="majorEastAsia"/>
          <w:sz w:val="24"/>
          <w:szCs w:val="24"/>
        </w:rPr>
      </w:pPr>
      <w:r w:rsidRPr="00D20F93">
        <w:rPr>
          <w:rFonts w:asciiTheme="majorEastAsia" w:eastAsiaTheme="majorEastAsia" w:hAnsiTheme="majorEastAsia" w:hint="eastAsia"/>
          <w:sz w:val="24"/>
          <w:szCs w:val="24"/>
        </w:rPr>
        <w:t>値引きや返品、割戻しなど、売上に係る対価の返還等に係る税込価額が１万円未満である場合に、返還インボイスの交付義務が免除されます</w:t>
      </w:r>
      <w:r>
        <w:rPr>
          <w:rFonts w:asciiTheme="majorEastAsia" w:eastAsiaTheme="majorEastAsia" w:hAnsiTheme="majorEastAsia" w:hint="eastAsia"/>
          <w:sz w:val="24"/>
          <w:szCs w:val="24"/>
        </w:rPr>
        <w:t>。</w:t>
      </w:r>
    </w:p>
    <w:p w14:paraId="1178AA08" w14:textId="453B31D2" w:rsidR="00596E8C" w:rsidRDefault="00502454" w:rsidP="00903414">
      <w:pPr>
        <w:ind w:left="240" w:hangingChars="100" w:hanging="240"/>
        <w:rPr>
          <w:rFonts w:asciiTheme="majorEastAsia" w:eastAsiaTheme="majorEastAsia" w:hAnsiTheme="majorEastAsia"/>
          <w:sz w:val="24"/>
          <w:szCs w:val="24"/>
        </w:rPr>
      </w:pPr>
      <w:r w:rsidRPr="00903414">
        <w:rPr>
          <w:rFonts w:asciiTheme="majorEastAsia" w:eastAsiaTheme="majorEastAsia" w:hAnsiTheme="majorEastAsia"/>
          <w:noProof/>
          <w:sz w:val="24"/>
          <w:szCs w:val="24"/>
        </w:rPr>
        <mc:AlternateContent>
          <mc:Choice Requires="wps">
            <w:drawing>
              <wp:anchor distT="0" distB="0" distL="114300" distR="114300" simplePos="0" relativeHeight="251708416" behindDoc="0" locked="0" layoutInCell="1" allowOverlap="1" wp14:anchorId="07102286" wp14:editId="118A6141">
                <wp:simplePos x="0" y="0"/>
                <wp:positionH relativeFrom="column">
                  <wp:posOffset>3456012</wp:posOffset>
                </wp:positionH>
                <wp:positionV relativeFrom="paragraph">
                  <wp:posOffset>184346</wp:posOffset>
                </wp:positionV>
                <wp:extent cx="1146175" cy="351692"/>
                <wp:effectExtent l="0" t="0" r="0" b="0"/>
                <wp:wrapNone/>
                <wp:docPr id="5" name="テキスト ボックス 7"/>
                <wp:cNvGraphicFramePr/>
                <a:graphic xmlns:a="http://schemas.openxmlformats.org/drawingml/2006/main">
                  <a:graphicData uri="http://schemas.microsoft.com/office/word/2010/wordprocessingShape">
                    <wps:wsp>
                      <wps:cNvSpPr txBox="1"/>
                      <wps:spPr>
                        <a:xfrm>
                          <a:off x="0" y="0"/>
                          <a:ext cx="1146175" cy="351692"/>
                        </a:xfrm>
                        <a:prstGeom prst="rect">
                          <a:avLst/>
                        </a:prstGeom>
                        <a:noFill/>
                        <a:ln w="6350">
                          <a:noFill/>
                        </a:ln>
                      </wps:spPr>
                      <wps:txbx>
                        <w:txbxContent>
                          <w:p w14:paraId="43FED43B" w14:textId="68CF49E6" w:rsidR="00903414" w:rsidRDefault="00903414" w:rsidP="00903414">
                            <w:pPr>
                              <w:spacing w:line="200" w:lineRule="exact"/>
                              <w:rPr>
                                <w:rFonts w:asciiTheme="majorEastAsia" w:eastAsiaTheme="majorEastAsia" w:hAnsiTheme="majorEastAsia"/>
                                <w:sz w:val="16"/>
                                <w:szCs w:val="16"/>
                              </w:rPr>
                            </w:pPr>
                            <w:r w:rsidRPr="00AB7E9D">
                              <w:rPr>
                                <w:rFonts w:asciiTheme="majorEastAsia" w:eastAsiaTheme="majorEastAsia" w:hAnsiTheme="majorEastAsia" w:hint="eastAsia"/>
                                <w:sz w:val="16"/>
                                <w:szCs w:val="16"/>
                              </w:rPr>
                              <w:t>令和５年度税制改正</w:t>
                            </w:r>
                          </w:p>
                          <w:p w14:paraId="7352F004" w14:textId="08E233B5" w:rsidR="002050D7" w:rsidRPr="00AB7E9D" w:rsidRDefault="002050D7" w:rsidP="00903414">
                            <w:pPr>
                              <w:spacing w:line="200" w:lineRule="exact"/>
                              <w:rPr>
                                <w:rFonts w:asciiTheme="majorEastAsia" w:eastAsiaTheme="majorEastAsia" w:hAnsiTheme="majorEastAsia"/>
                                <w:sz w:val="16"/>
                                <w:szCs w:val="16"/>
                              </w:rPr>
                            </w:pPr>
                            <w:r>
                              <w:rPr>
                                <w:rFonts w:asciiTheme="majorEastAsia" w:eastAsiaTheme="majorEastAsia" w:hAnsiTheme="majorEastAsia" w:hint="eastAsia"/>
                                <w:sz w:val="16"/>
                                <w:szCs w:val="16"/>
                              </w:rPr>
                              <w:t>国税庁ホームページ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102286" id="テキスト ボックス 7" o:spid="_x0000_s1030" type="#_x0000_t202" style="position:absolute;left:0;text-align:left;margin-left:272.15pt;margin-top:14.5pt;width:90.25pt;height:27.7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YKwUAIAAGkEAAAOAAAAZHJzL2Uyb0RvYy54bWysVEtu2zAQ3RfoHQjua1mOP41gOXATuChg&#10;JAGcImuaoiwBEoclaUvuMgaCHqJXKLrueXSRDinLMdKuim6oGc5wPu/NaHpVlwXZCW1ykDENe31K&#10;hOSQ5HIT088Pi3fvKTGWyYQVIEVM98LQq9nbN9NKRWIAGRSJ0ASDSBNVKqaZtSoKAsMzUTLTAyUk&#10;GlPQJbOo6k2QaFZh9LIIBv3+OKhAJ0oDF8bg7U1rpDMfP00Ft3dpaoQlRUyxNutP7c+1O4PZlEUb&#10;zVSW82MZ7B+qKFkuMekp1A2zjGx1/keoMucaDKS2x6EMIE1zLnwP2E3Yf9XNKmNK+F4QHKNOMJn/&#10;F5bf7u41yZOYjiiRrESKmsNz8/SjefrVHL6R5vC9ORyap5+ok4mDq1Imwlcrhe9s/QFqpL27N3jp&#10;UKhTXbov9kfQjsDvT2CL2hLuHoXDcTjBrBxtF6NwfDlwYYKX10ob+1FASZwQU41keozZbmls69q5&#10;uGQSFnlReEILSaqYji9Gff/gZMHghcQcroe2VifZel17CIZdH2tI9tiehnZejOKLHGtYMmPvmcYB&#10;wY5w6O0dHmkBmAuOEiUZ6K9/u3f+yBtaKalw4GJqvmyZFpQUnyQyehkOh25CvTIcTQao6HPL+twi&#10;t+U14EyHuF6Ke9H526ITUw3lI+7G3GVFE5Mcc8fUduK1bdcAd4uL+dw74UwqZpdypbgL7VB1CD/U&#10;j0yrIw0WCbyFbjRZ9IqN1rflY761kOaeKodzi+oRfpxnT/Zx99zCnOve6+UPMfsNAAD//wMAUEsD&#10;BBQABgAIAAAAIQBE1/GX4QAAAAkBAAAPAAAAZHJzL2Rvd25yZXYueG1sTI/LTsMwEEX3SPyDNUjs&#10;qENwIQ2ZVFWkCgnRRUs33Tmxm0T4EWK3DXw9wwqWo7m695xiOVnDznoMvXcI97MEmHaNV71rEfbv&#10;67sMWIjSKWm80whfOsCyvL4qZK78xW31eRdbRiUu5BKhi3HIOQ9Np60MMz9oR7+jH62MdI4tV6O8&#10;ULk1PE2SR25l72ihk4OuOt187E4W4bVab+S2Tm32baqXt+Nq+Nwf5oi3N9PqGVjUU/wLwy8+oUNJ&#10;TLU/ORWYQZgL8UBRhHRBThR4SgW51AiZEMDLgv83KH8AAAD//wMAUEsBAi0AFAAGAAgAAAAhALaD&#10;OJL+AAAA4QEAABMAAAAAAAAAAAAAAAAAAAAAAFtDb250ZW50X1R5cGVzXS54bWxQSwECLQAUAAYA&#10;CAAAACEAOP0h/9YAAACUAQAACwAAAAAAAAAAAAAAAAAvAQAAX3JlbHMvLnJlbHNQSwECLQAUAAYA&#10;CAAAACEA9sWCsFACAABpBAAADgAAAAAAAAAAAAAAAAAuAgAAZHJzL2Uyb0RvYy54bWxQSwECLQAU&#10;AAYACAAAACEARNfxl+EAAAAJAQAADwAAAAAAAAAAAAAAAACqBAAAZHJzL2Rvd25yZXYueG1sUEsF&#10;BgAAAAAEAAQA8wAAALgFAAAAAA==&#10;" filled="f" stroked="f" strokeweight=".5pt">
                <v:textbox>
                  <w:txbxContent>
                    <w:p w14:paraId="43FED43B" w14:textId="68CF49E6" w:rsidR="00903414" w:rsidRDefault="00903414" w:rsidP="00903414">
                      <w:pPr>
                        <w:spacing w:line="200" w:lineRule="exact"/>
                        <w:rPr>
                          <w:rFonts w:asciiTheme="majorEastAsia" w:eastAsiaTheme="majorEastAsia" w:hAnsiTheme="majorEastAsia"/>
                          <w:sz w:val="16"/>
                          <w:szCs w:val="16"/>
                        </w:rPr>
                      </w:pPr>
                      <w:r w:rsidRPr="00AB7E9D">
                        <w:rPr>
                          <w:rFonts w:asciiTheme="majorEastAsia" w:eastAsiaTheme="majorEastAsia" w:hAnsiTheme="majorEastAsia" w:hint="eastAsia"/>
                          <w:sz w:val="16"/>
                          <w:szCs w:val="16"/>
                        </w:rPr>
                        <w:t>令和５年度税制改正</w:t>
                      </w:r>
                    </w:p>
                    <w:p w14:paraId="7352F004" w14:textId="08E233B5" w:rsidR="002050D7" w:rsidRPr="00AB7E9D" w:rsidRDefault="002050D7" w:rsidP="00903414">
                      <w:pPr>
                        <w:spacing w:line="200" w:lineRule="exact"/>
                        <w:rPr>
                          <w:rFonts w:asciiTheme="majorEastAsia" w:eastAsiaTheme="majorEastAsia" w:hAnsiTheme="majorEastAsia"/>
                          <w:sz w:val="16"/>
                          <w:szCs w:val="16"/>
                        </w:rPr>
                      </w:pPr>
                      <w:r>
                        <w:rPr>
                          <w:rFonts w:asciiTheme="majorEastAsia" w:eastAsiaTheme="majorEastAsia" w:hAnsiTheme="majorEastAsia" w:hint="eastAsia"/>
                          <w:sz w:val="16"/>
                          <w:szCs w:val="16"/>
                        </w:rPr>
                        <w:t>国税庁ホームページ</w:t>
                      </w:r>
                    </w:p>
                  </w:txbxContent>
                </v:textbox>
              </v:shape>
            </w:pict>
          </mc:Fallback>
        </mc:AlternateContent>
      </w:r>
      <w:r w:rsidRPr="00903414">
        <w:rPr>
          <w:rFonts w:asciiTheme="majorEastAsia" w:eastAsiaTheme="majorEastAsia" w:hAnsiTheme="majorEastAsia"/>
          <w:noProof/>
          <w:sz w:val="24"/>
          <w:szCs w:val="24"/>
        </w:rPr>
        <w:drawing>
          <wp:anchor distT="0" distB="0" distL="114300" distR="114300" simplePos="0" relativeHeight="251707392" behindDoc="0" locked="0" layoutInCell="1" allowOverlap="1" wp14:anchorId="5BA6324C" wp14:editId="4F186B5E">
            <wp:simplePos x="0" y="0"/>
            <wp:positionH relativeFrom="column">
              <wp:posOffset>4652401</wp:posOffset>
            </wp:positionH>
            <wp:positionV relativeFrom="paragraph">
              <wp:posOffset>36049</wp:posOffset>
            </wp:positionV>
            <wp:extent cx="675249" cy="654147"/>
            <wp:effectExtent l="0" t="0" r="0" b="0"/>
            <wp:wrapNone/>
            <wp:docPr id="13" name="図 8">
              <a:extLst xmlns:a="http://schemas.openxmlformats.org/drawingml/2006/main">
                <a:ext uri="{63B3BB69-23CF-44E3-9099-C40C66FF867C}">
                  <a14:compatExt xmlns:a14="http://schemas.microsoft.com/office/drawing/2010/main" spid="_x0000_s1025"/>
                </a:ext>
                <a:ext uri="{FF2B5EF4-FFF2-40B4-BE49-F238E27FC236}">
                  <a16:creationId xmlns:a16="http://schemas.microsoft.com/office/drawing/2014/main" id="{00000000-0008-0000-0000-000001040000}"/>
                </a:ext>
              </a:extLst>
            </wp:docPr>
            <wp:cNvGraphicFramePr/>
            <a:graphic xmlns:a="http://schemas.openxmlformats.org/drawingml/2006/main">
              <a:graphicData uri="http://schemas.openxmlformats.org/drawingml/2006/picture">
                <pic:pic xmlns:pic="http://schemas.openxmlformats.org/drawingml/2006/picture">
                  <pic:nvPicPr>
                    <pic:cNvPr id="2" name="BarCodeCtrl1">
                      <a:extLst>
                        <a:ext uri="{63B3BB69-23CF-44E3-9099-C40C66FF867C}">
                          <a14:compatExt xmlns:a14="http://schemas.microsoft.com/office/drawing/2010/main" spid="_x0000_s1025"/>
                        </a:ext>
                        <a:ext uri="{FF2B5EF4-FFF2-40B4-BE49-F238E27FC236}">
                          <a16:creationId xmlns:a16="http://schemas.microsoft.com/office/drawing/2014/main" id="{00000000-0008-0000-0000-000001040000}"/>
                        </a:ext>
                      </a:extLst>
                    </pic:cNvPr>
                    <pic:cNvPicPr>
                      <a:picLocks noChangeAspect="1"/>
                    </pic:cNvPicPr>
                  </pic:nvPicPr>
                  <pic:blipFill>
                    <a:blip r:embed="rId13"/>
                    <a:stretch>
                      <a:fillRect/>
                    </a:stretch>
                  </pic:blipFill>
                  <pic:spPr>
                    <a:xfrm>
                      <a:off x="0" y="0"/>
                      <a:ext cx="675249" cy="654147"/>
                    </a:xfrm>
                    <a:prstGeom prst="rect">
                      <a:avLst/>
                    </a:prstGeom>
                  </pic:spPr>
                </pic:pic>
              </a:graphicData>
            </a:graphic>
            <wp14:sizeRelH relativeFrom="page">
              <wp14:pctWidth>0</wp14:pctWidth>
            </wp14:sizeRelH>
            <wp14:sizeRelV relativeFrom="page">
              <wp14:pctHeight>0</wp14:pctHeight>
            </wp14:sizeRelV>
          </wp:anchor>
        </w:drawing>
      </w:r>
      <w:r w:rsidR="00596E8C">
        <w:rPr>
          <w:rFonts w:asciiTheme="majorEastAsia" w:eastAsiaTheme="majorEastAsia" w:hAnsiTheme="majorEastAsia" w:hint="eastAsia"/>
          <w:sz w:val="24"/>
          <w:szCs w:val="24"/>
        </w:rPr>
        <w:t xml:space="preserve">　　</w:t>
      </w:r>
    </w:p>
    <w:p w14:paraId="017F9B57" w14:textId="6956E279" w:rsidR="00903414" w:rsidRDefault="00903414" w:rsidP="00903414">
      <w:pPr>
        <w:ind w:left="240" w:hangingChars="100" w:hanging="240"/>
        <w:rPr>
          <w:rFonts w:asciiTheme="majorEastAsia" w:eastAsiaTheme="majorEastAsia" w:hAnsiTheme="majorEastAsia"/>
          <w:sz w:val="24"/>
          <w:szCs w:val="24"/>
        </w:rPr>
      </w:pPr>
    </w:p>
    <w:p w14:paraId="343383DE" w14:textId="421FB984" w:rsidR="00903414" w:rsidRDefault="00903414" w:rsidP="00903414">
      <w:pPr>
        <w:ind w:left="240" w:hangingChars="100" w:hanging="240"/>
        <w:rPr>
          <w:rFonts w:asciiTheme="majorEastAsia" w:eastAsiaTheme="majorEastAsia" w:hAnsiTheme="majorEastAsia"/>
          <w:sz w:val="24"/>
          <w:szCs w:val="24"/>
        </w:rPr>
      </w:pPr>
    </w:p>
    <w:p w14:paraId="6D74A7CB" w14:textId="77777777" w:rsidR="00596E8C" w:rsidRDefault="00596E8C" w:rsidP="00245F5F">
      <w:pPr>
        <w:rPr>
          <w:rFonts w:asciiTheme="majorEastAsia" w:eastAsiaTheme="majorEastAsia" w:hAnsiTheme="majorEastAsia"/>
          <w:sz w:val="24"/>
          <w:szCs w:val="24"/>
        </w:rPr>
      </w:pPr>
    </w:p>
    <w:p w14:paraId="77BD8AAE" w14:textId="1F3683A4" w:rsidR="00675D34" w:rsidRPr="00A4465B" w:rsidRDefault="00675D34" w:rsidP="00675D34">
      <w:pPr>
        <w:rPr>
          <w:rFonts w:asciiTheme="majorEastAsia" w:eastAsiaTheme="majorEastAsia" w:hAnsiTheme="majorEastAsia"/>
          <w:sz w:val="24"/>
          <w:szCs w:val="24"/>
        </w:rPr>
      </w:pPr>
      <w:r>
        <w:rPr>
          <w:rFonts w:asciiTheme="majorEastAsia" w:eastAsiaTheme="majorEastAsia" w:hAnsiTheme="majorEastAsia"/>
          <w:sz w:val="24"/>
          <w:szCs w:val="24"/>
        </w:rPr>
        <w:t>※　本文は令和５年</w:t>
      </w:r>
      <w:r>
        <w:rPr>
          <w:rFonts w:asciiTheme="majorEastAsia" w:eastAsiaTheme="majorEastAsia" w:hAnsiTheme="majorEastAsia" w:hint="eastAsia"/>
          <w:sz w:val="24"/>
          <w:szCs w:val="24"/>
        </w:rPr>
        <w:t>４</w:t>
      </w:r>
      <w:r>
        <w:rPr>
          <w:rFonts w:asciiTheme="majorEastAsia" w:eastAsiaTheme="majorEastAsia" w:hAnsiTheme="majorEastAsia"/>
          <w:sz w:val="24"/>
          <w:szCs w:val="24"/>
        </w:rPr>
        <w:t>月時点の法令等に基づき記載しています。</w:t>
      </w:r>
    </w:p>
    <w:p w14:paraId="45E34636" w14:textId="77777777" w:rsidR="00675D34" w:rsidRDefault="00675D34" w:rsidP="00245F5F">
      <w:pPr>
        <w:rPr>
          <w:rFonts w:asciiTheme="majorEastAsia" w:eastAsiaTheme="majorEastAsia" w:hAnsiTheme="majorEastAsia"/>
          <w:noProof/>
          <w:sz w:val="24"/>
          <w:szCs w:val="24"/>
        </w:rPr>
      </w:pPr>
    </w:p>
    <w:p w14:paraId="4D272C1B" w14:textId="3F4E9CD4" w:rsidR="00675D34" w:rsidRDefault="00675D34" w:rsidP="00245F5F">
      <w:pPr>
        <w:rPr>
          <w:rFonts w:asciiTheme="majorEastAsia" w:eastAsiaTheme="majorEastAsia" w:hAnsiTheme="majorEastAsia"/>
          <w:sz w:val="24"/>
          <w:szCs w:val="24"/>
        </w:rPr>
      </w:pPr>
      <w:r>
        <w:rPr>
          <w:rFonts w:asciiTheme="majorEastAsia" w:eastAsiaTheme="majorEastAsia" w:hAnsiTheme="majorEastAsia"/>
          <w:noProof/>
          <w:sz w:val="24"/>
          <w:szCs w:val="24"/>
        </w:rPr>
        <w:lastRenderedPageBreak/>
        <w:drawing>
          <wp:inline distT="0" distB="0" distL="0" distR="0" wp14:anchorId="0F144529" wp14:editId="7A35BB61">
            <wp:extent cx="4634206" cy="3708400"/>
            <wp:effectExtent l="0" t="0" r="0" b="6350"/>
            <wp:docPr id="1" name="図 9" descr="kokuzeicho_inboycead_nikkei_03_h5_ver_2_0316.pdf - Adobe Acrobat Reader DC (32-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3CB546.tmp"/>
                    <pic:cNvPicPr/>
                  </pic:nvPicPr>
                  <pic:blipFill rotWithShape="1">
                    <a:blip r:embed="rId14">
                      <a:extLst>
                        <a:ext uri="{28A0092B-C50C-407E-A947-70E740481C1C}">
                          <a14:useLocalDpi xmlns:a14="http://schemas.microsoft.com/office/drawing/2010/main" val="0"/>
                        </a:ext>
                      </a:extLst>
                    </a:blip>
                    <a:srcRect l="20851" t="32100" r="45003" b="13030"/>
                    <a:stretch/>
                  </pic:blipFill>
                  <pic:spPr bwMode="auto">
                    <a:xfrm>
                      <a:off x="0" y="0"/>
                      <a:ext cx="4685964" cy="3749818"/>
                    </a:xfrm>
                    <a:prstGeom prst="rect">
                      <a:avLst/>
                    </a:prstGeom>
                    <a:ln>
                      <a:noFill/>
                    </a:ln>
                    <a:extLst>
                      <a:ext uri="{53640926-AAD7-44D8-BBD7-CCE9431645EC}">
                        <a14:shadowObscured xmlns:a14="http://schemas.microsoft.com/office/drawing/2010/main"/>
                      </a:ext>
                    </a:extLst>
                  </pic:spPr>
                </pic:pic>
              </a:graphicData>
            </a:graphic>
          </wp:inline>
        </w:drawing>
      </w:r>
    </w:p>
    <w:p w14:paraId="45732FC1" w14:textId="77777777" w:rsidR="00675D34" w:rsidRDefault="00675D34" w:rsidP="00245F5F">
      <w:pPr>
        <w:rPr>
          <w:rFonts w:asciiTheme="majorEastAsia" w:eastAsiaTheme="majorEastAsia" w:hAnsiTheme="majorEastAsia"/>
          <w:sz w:val="24"/>
          <w:szCs w:val="24"/>
        </w:rPr>
      </w:pPr>
    </w:p>
    <w:sectPr w:rsidR="00675D34">
      <w:footerReference w:type="default" r:id="rId15"/>
      <w:pgSz w:w="11906" w:h="16838"/>
      <w:pgMar w:top="1985" w:right="1701" w:bottom="1701" w:left="1701" w:header="851" w:footer="992" w:gutter="0"/>
      <w:cols w:space="425"/>
      <w:docGrid w:type="lines"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D864F2" w16cex:dateUtc="2023-04-05T12:21:00Z"/>
  <w16cex:commentExtensible w16cex:durableId="27D67CD5" w16cex:dateUtc="2023-04-04T01:39: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D55B12" w14:textId="77777777" w:rsidR="00474337" w:rsidRDefault="00474337" w:rsidP="00F9502A">
      <w:r>
        <w:separator/>
      </w:r>
    </w:p>
  </w:endnote>
  <w:endnote w:type="continuationSeparator" w:id="0">
    <w:p w14:paraId="23068EE6" w14:textId="77777777" w:rsidR="00474337" w:rsidRDefault="00474337" w:rsidP="00F950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Meiryo UI">
    <w:panose1 w:val="020B0604030504040204"/>
    <w:charset w:val="80"/>
    <w:family w:val="modern"/>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73565094"/>
      <w:docPartObj>
        <w:docPartGallery w:val="Page Numbers (Bottom of Page)"/>
        <w:docPartUnique/>
      </w:docPartObj>
    </w:sdtPr>
    <w:sdtEndPr/>
    <w:sdtContent>
      <w:p w14:paraId="208EE77A" w14:textId="77777777" w:rsidR="00620424" w:rsidRDefault="00620424">
        <w:pPr>
          <w:pStyle w:val="a7"/>
          <w:jc w:val="center"/>
        </w:pPr>
        <w:r w:rsidRPr="001202EB">
          <w:rPr>
            <w:rFonts w:asciiTheme="majorEastAsia" w:eastAsiaTheme="majorEastAsia" w:hAnsiTheme="majorEastAsia"/>
          </w:rPr>
          <w:fldChar w:fldCharType="begin"/>
        </w:r>
        <w:r w:rsidRPr="001202EB">
          <w:rPr>
            <w:rFonts w:asciiTheme="majorEastAsia" w:eastAsiaTheme="majorEastAsia" w:hAnsiTheme="majorEastAsia"/>
          </w:rPr>
          <w:instrText>PAGE   \* MERGEFORMAT</w:instrText>
        </w:r>
        <w:r w:rsidRPr="001202EB">
          <w:rPr>
            <w:rFonts w:asciiTheme="majorEastAsia" w:eastAsiaTheme="majorEastAsia" w:hAnsiTheme="majorEastAsia"/>
          </w:rPr>
          <w:fldChar w:fldCharType="separate"/>
        </w:r>
        <w:r w:rsidR="00E87C04" w:rsidRPr="00E87C04">
          <w:rPr>
            <w:rFonts w:asciiTheme="majorEastAsia" w:eastAsiaTheme="majorEastAsia" w:hAnsiTheme="majorEastAsia"/>
            <w:noProof/>
            <w:lang w:val="ja-JP"/>
          </w:rPr>
          <w:t>4</w:t>
        </w:r>
        <w:r w:rsidRPr="001202EB">
          <w:rPr>
            <w:rFonts w:asciiTheme="majorEastAsia" w:eastAsiaTheme="majorEastAsia" w:hAnsiTheme="majorEastAsia"/>
          </w:rPr>
          <w:fldChar w:fldCharType="end"/>
        </w:r>
      </w:p>
    </w:sdtContent>
  </w:sdt>
  <w:p w14:paraId="2552EA78" w14:textId="77777777" w:rsidR="00620424" w:rsidRDefault="00620424">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A3B834" w14:textId="77777777" w:rsidR="00474337" w:rsidRDefault="00474337" w:rsidP="00F9502A">
      <w:r>
        <w:separator/>
      </w:r>
    </w:p>
  </w:footnote>
  <w:footnote w:type="continuationSeparator" w:id="0">
    <w:p w14:paraId="0C9A2A22" w14:textId="77777777" w:rsidR="00474337" w:rsidRDefault="00474337" w:rsidP="00F9502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trackRevisions/>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0638"/>
    <w:rsid w:val="00003534"/>
    <w:rsid w:val="00015E2C"/>
    <w:rsid w:val="00021FE9"/>
    <w:rsid w:val="00022999"/>
    <w:rsid w:val="00022B6B"/>
    <w:rsid w:val="000563D1"/>
    <w:rsid w:val="000633E9"/>
    <w:rsid w:val="00073BE4"/>
    <w:rsid w:val="00091D9A"/>
    <w:rsid w:val="00097785"/>
    <w:rsid w:val="000A6D76"/>
    <w:rsid w:val="000B6672"/>
    <w:rsid w:val="000C287B"/>
    <w:rsid w:val="000D171F"/>
    <w:rsid w:val="000F217F"/>
    <w:rsid w:val="000F71E8"/>
    <w:rsid w:val="00111DAE"/>
    <w:rsid w:val="001202EB"/>
    <w:rsid w:val="00132688"/>
    <w:rsid w:val="0013788E"/>
    <w:rsid w:val="00147997"/>
    <w:rsid w:val="00150B74"/>
    <w:rsid w:val="00154F19"/>
    <w:rsid w:val="0016322E"/>
    <w:rsid w:val="001669BD"/>
    <w:rsid w:val="00167EFD"/>
    <w:rsid w:val="001A122F"/>
    <w:rsid w:val="001A70D6"/>
    <w:rsid w:val="001B492E"/>
    <w:rsid w:val="001B6C43"/>
    <w:rsid w:val="001C1C27"/>
    <w:rsid w:val="001C2786"/>
    <w:rsid w:val="001C2C83"/>
    <w:rsid w:val="001C783E"/>
    <w:rsid w:val="001D392A"/>
    <w:rsid w:val="001D537B"/>
    <w:rsid w:val="001D7A8F"/>
    <w:rsid w:val="001E1F72"/>
    <w:rsid w:val="001F4D7D"/>
    <w:rsid w:val="002050D7"/>
    <w:rsid w:val="0023628B"/>
    <w:rsid w:val="00245F5F"/>
    <w:rsid w:val="00264F5B"/>
    <w:rsid w:val="00276EFA"/>
    <w:rsid w:val="00280638"/>
    <w:rsid w:val="0029380E"/>
    <w:rsid w:val="00294FC6"/>
    <w:rsid w:val="002A479F"/>
    <w:rsid w:val="002A5982"/>
    <w:rsid w:val="002A79AA"/>
    <w:rsid w:val="002B1D10"/>
    <w:rsid w:val="002B6365"/>
    <w:rsid w:val="002C7814"/>
    <w:rsid w:val="002C7BF4"/>
    <w:rsid w:val="002D0E04"/>
    <w:rsid w:val="002D10D0"/>
    <w:rsid w:val="002E3966"/>
    <w:rsid w:val="002E6D8B"/>
    <w:rsid w:val="00306F78"/>
    <w:rsid w:val="0031201F"/>
    <w:rsid w:val="00322C9D"/>
    <w:rsid w:val="00323599"/>
    <w:rsid w:val="00333A4F"/>
    <w:rsid w:val="00335F1C"/>
    <w:rsid w:val="00340BE2"/>
    <w:rsid w:val="003472BF"/>
    <w:rsid w:val="003544C3"/>
    <w:rsid w:val="003633E5"/>
    <w:rsid w:val="003637B2"/>
    <w:rsid w:val="00377F14"/>
    <w:rsid w:val="003A154D"/>
    <w:rsid w:val="003C7D0F"/>
    <w:rsid w:val="003E4AEF"/>
    <w:rsid w:val="0040347F"/>
    <w:rsid w:val="00411917"/>
    <w:rsid w:val="00413305"/>
    <w:rsid w:val="00415CB2"/>
    <w:rsid w:val="00425D56"/>
    <w:rsid w:val="00426CED"/>
    <w:rsid w:val="00433C91"/>
    <w:rsid w:val="00435679"/>
    <w:rsid w:val="00474337"/>
    <w:rsid w:val="00485A86"/>
    <w:rsid w:val="0048658F"/>
    <w:rsid w:val="004A00A9"/>
    <w:rsid w:val="004B18EA"/>
    <w:rsid w:val="004B35BD"/>
    <w:rsid w:val="004B3764"/>
    <w:rsid w:val="004C1FEA"/>
    <w:rsid w:val="004C202F"/>
    <w:rsid w:val="004C53F9"/>
    <w:rsid w:val="004D7B85"/>
    <w:rsid w:val="004E0468"/>
    <w:rsid w:val="004E621B"/>
    <w:rsid w:val="004E7755"/>
    <w:rsid w:val="004F1A9F"/>
    <w:rsid w:val="004F7BF7"/>
    <w:rsid w:val="00502454"/>
    <w:rsid w:val="00505689"/>
    <w:rsid w:val="00523369"/>
    <w:rsid w:val="00532267"/>
    <w:rsid w:val="00535D18"/>
    <w:rsid w:val="00540698"/>
    <w:rsid w:val="00550C0E"/>
    <w:rsid w:val="00555E55"/>
    <w:rsid w:val="00557611"/>
    <w:rsid w:val="00564905"/>
    <w:rsid w:val="00596E8C"/>
    <w:rsid w:val="005B650A"/>
    <w:rsid w:val="005B6C10"/>
    <w:rsid w:val="005C0583"/>
    <w:rsid w:val="005E4D18"/>
    <w:rsid w:val="005E6ACF"/>
    <w:rsid w:val="005F476C"/>
    <w:rsid w:val="005F4EC4"/>
    <w:rsid w:val="00610D88"/>
    <w:rsid w:val="0061735D"/>
    <w:rsid w:val="00617C91"/>
    <w:rsid w:val="00617F21"/>
    <w:rsid w:val="00620424"/>
    <w:rsid w:val="006241AA"/>
    <w:rsid w:val="00634CB6"/>
    <w:rsid w:val="00646F9E"/>
    <w:rsid w:val="00662449"/>
    <w:rsid w:val="00663E54"/>
    <w:rsid w:val="00675D34"/>
    <w:rsid w:val="00684AE9"/>
    <w:rsid w:val="00694B4D"/>
    <w:rsid w:val="006A4199"/>
    <w:rsid w:val="006B4FFE"/>
    <w:rsid w:val="006B77BD"/>
    <w:rsid w:val="006C013C"/>
    <w:rsid w:val="006D61E8"/>
    <w:rsid w:val="006E145E"/>
    <w:rsid w:val="006F3287"/>
    <w:rsid w:val="006F53A9"/>
    <w:rsid w:val="006F5B9F"/>
    <w:rsid w:val="0070105E"/>
    <w:rsid w:val="00721883"/>
    <w:rsid w:val="00726D1E"/>
    <w:rsid w:val="0073612D"/>
    <w:rsid w:val="0074580B"/>
    <w:rsid w:val="00766652"/>
    <w:rsid w:val="00797EE9"/>
    <w:rsid w:val="007A79F6"/>
    <w:rsid w:val="007C3EA4"/>
    <w:rsid w:val="007D28ED"/>
    <w:rsid w:val="007E4A5C"/>
    <w:rsid w:val="007F1898"/>
    <w:rsid w:val="007F23DB"/>
    <w:rsid w:val="00803BBC"/>
    <w:rsid w:val="00817638"/>
    <w:rsid w:val="00830769"/>
    <w:rsid w:val="008447E6"/>
    <w:rsid w:val="00851C2B"/>
    <w:rsid w:val="008522B4"/>
    <w:rsid w:val="00860572"/>
    <w:rsid w:val="00860E81"/>
    <w:rsid w:val="0086211F"/>
    <w:rsid w:val="008713AA"/>
    <w:rsid w:val="00876AAE"/>
    <w:rsid w:val="00877384"/>
    <w:rsid w:val="0088447B"/>
    <w:rsid w:val="008868E9"/>
    <w:rsid w:val="00896DB5"/>
    <w:rsid w:val="008C0E1B"/>
    <w:rsid w:val="008D615C"/>
    <w:rsid w:val="008E14AE"/>
    <w:rsid w:val="00903414"/>
    <w:rsid w:val="00913025"/>
    <w:rsid w:val="00913553"/>
    <w:rsid w:val="009167F5"/>
    <w:rsid w:val="009202BA"/>
    <w:rsid w:val="00924491"/>
    <w:rsid w:val="0093612B"/>
    <w:rsid w:val="00944824"/>
    <w:rsid w:val="00950618"/>
    <w:rsid w:val="009560A1"/>
    <w:rsid w:val="009607F2"/>
    <w:rsid w:val="00961B2B"/>
    <w:rsid w:val="00972529"/>
    <w:rsid w:val="0097312B"/>
    <w:rsid w:val="009836F3"/>
    <w:rsid w:val="00986E0B"/>
    <w:rsid w:val="009870CE"/>
    <w:rsid w:val="00994D64"/>
    <w:rsid w:val="00994D8A"/>
    <w:rsid w:val="00995EBB"/>
    <w:rsid w:val="009B128B"/>
    <w:rsid w:val="009B24D9"/>
    <w:rsid w:val="009B2F69"/>
    <w:rsid w:val="009B4A36"/>
    <w:rsid w:val="009B5832"/>
    <w:rsid w:val="009B78F8"/>
    <w:rsid w:val="009E273B"/>
    <w:rsid w:val="009F7482"/>
    <w:rsid w:val="00A25B0F"/>
    <w:rsid w:val="00A26524"/>
    <w:rsid w:val="00A36027"/>
    <w:rsid w:val="00A40AE2"/>
    <w:rsid w:val="00A4465B"/>
    <w:rsid w:val="00A634D9"/>
    <w:rsid w:val="00A6733B"/>
    <w:rsid w:val="00A70540"/>
    <w:rsid w:val="00A71C34"/>
    <w:rsid w:val="00A827F8"/>
    <w:rsid w:val="00A84032"/>
    <w:rsid w:val="00A841B2"/>
    <w:rsid w:val="00A912F8"/>
    <w:rsid w:val="00A92A54"/>
    <w:rsid w:val="00A956D7"/>
    <w:rsid w:val="00A97086"/>
    <w:rsid w:val="00AA0DC5"/>
    <w:rsid w:val="00AD7787"/>
    <w:rsid w:val="00AE4057"/>
    <w:rsid w:val="00AE5125"/>
    <w:rsid w:val="00B01F4A"/>
    <w:rsid w:val="00B16719"/>
    <w:rsid w:val="00B32F9C"/>
    <w:rsid w:val="00B379F8"/>
    <w:rsid w:val="00B60FC2"/>
    <w:rsid w:val="00B71029"/>
    <w:rsid w:val="00B7407E"/>
    <w:rsid w:val="00B76DF8"/>
    <w:rsid w:val="00B80E76"/>
    <w:rsid w:val="00B87407"/>
    <w:rsid w:val="00B94C45"/>
    <w:rsid w:val="00BA07E6"/>
    <w:rsid w:val="00BA709B"/>
    <w:rsid w:val="00BB3F4F"/>
    <w:rsid w:val="00BC4BBF"/>
    <w:rsid w:val="00BD0D3C"/>
    <w:rsid w:val="00BD27AD"/>
    <w:rsid w:val="00BD621B"/>
    <w:rsid w:val="00BE2EB1"/>
    <w:rsid w:val="00C0042E"/>
    <w:rsid w:val="00C0322F"/>
    <w:rsid w:val="00C04A9D"/>
    <w:rsid w:val="00C05F7D"/>
    <w:rsid w:val="00C11145"/>
    <w:rsid w:val="00C273DD"/>
    <w:rsid w:val="00C31087"/>
    <w:rsid w:val="00C67F89"/>
    <w:rsid w:val="00C73630"/>
    <w:rsid w:val="00C75FA1"/>
    <w:rsid w:val="00C7606C"/>
    <w:rsid w:val="00C90A7B"/>
    <w:rsid w:val="00C97AD5"/>
    <w:rsid w:val="00CB3679"/>
    <w:rsid w:val="00CB3A4C"/>
    <w:rsid w:val="00CC25ED"/>
    <w:rsid w:val="00CC2AA0"/>
    <w:rsid w:val="00CD0CFA"/>
    <w:rsid w:val="00CF528F"/>
    <w:rsid w:val="00D040EB"/>
    <w:rsid w:val="00D12545"/>
    <w:rsid w:val="00D12DF7"/>
    <w:rsid w:val="00D12E52"/>
    <w:rsid w:val="00D13F01"/>
    <w:rsid w:val="00D20F93"/>
    <w:rsid w:val="00D32E8F"/>
    <w:rsid w:val="00D33986"/>
    <w:rsid w:val="00D33FF7"/>
    <w:rsid w:val="00D37C02"/>
    <w:rsid w:val="00D40032"/>
    <w:rsid w:val="00D416E7"/>
    <w:rsid w:val="00D463CF"/>
    <w:rsid w:val="00D5400F"/>
    <w:rsid w:val="00D5408F"/>
    <w:rsid w:val="00D61D1B"/>
    <w:rsid w:val="00D640BC"/>
    <w:rsid w:val="00D66EE1"/>
    <w:rsid w:val="00D70D48"/>
    <w:rsid w:val="00D70D99"/>
    <w:rsid w:val="00D74CBF"/>
    <w:rsid w:val="00D76AF1"/>
    <w:rsid w:val="00D8078D"/>
    <w:rsid w:val="00DA4A09"/>
    <w:rsid w:val="00DB05FC"/>
    <w:rsid w:val="00DB1B60"/>
    <w:rsid w:val="00DB5EC4"/>
    <w:rsid w:val="00DC11DA"/>
    <w:rsid w:val="00DD2BCD"/>
    <w:rsid w:val="00DE3F46"/>
    <w:rsid w:val="00DF2015"/>
    <w:rsid w:val="00E1147D"/>
    <w:rsid w:val="00E1346C"/>
    <w:rsid w:val="00E15E22"/>
    <w:rsid w:val="00E312CE"/>
    <w:rsid w:val="00E33AE2"/>
    <w:rsid w:val="00E35D7D"/>
    <w:rsid w:val="00E55C0E"/>
    <w:rsid w:val="00E55D16"/>
    <w:rsid w:val="00E612D0"/>
    <w:rsid w:val="00E75520"/>
    <w:rsid w:val="00E82E34"/>
    <w:rsid w:val="00E86ABF"/>
    <w:rsid w:val="00E87668"/>
    <w:rsid w:val="00E87C04"/>
    <w:rsid w:val="00E90D92"/>
    <w:rsid w:val="00E939C2"/>
    <w:rsid w:val="00EA2560"/>
    <w:rsid w:val="00EA277A"/>
    <w:rsid w:val="00EB435B"/>
    <w:rsid w:val="00EB7B08"/>
    <w:rsid w:val="00ED2E2A"/>
    <w:rsid w:val="00EE30C6"/>
    <w:rsid w:val="00EE67CF"/>
    <w:rsid w:val="00EF6031"/>
    <w:rsid w:val="00F02DAE"/>
    <w:rsid w:val="00F2411C"/>
    <w:rsid w:val="00F5404C"/>
    <w:rsid w:val="00F56F54"/>
    <w:rsid w:val="00F917B3"/>
    <w:rsid w:val="00F93AEE"/>
    <w:rsid w:val="00F94E4B"/>
    <w:rsid w:val="00F9502A"/>
    <w:rsid w:val="00FA0090"/>
    <w:rsid w:val="00FA0245"/>
    <w:rsid w:val="00FA4308"/>
    <w:rsid w:val="00FB57F0"/>
    <w:rsid w:val="00FC4D0D"/>
    <w:rsid w:val="00FC6A4C"/>
    <w:rsid w:val="00FD69E0"/>
    <w:rsid w:val="00FE6A4E"/>
    <w:rsid w:val="00FF2D82"/>
    <w:rsid w:val="00FF3020"/>
    <w:rsid w:val="00FF61D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09267E3"/>
  <w15:chartTrackingRefBased/>
  <w15:docId w15:val="{2BF1E758-1CF5-4CB1-B5A8-6C2B5DEA4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E775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C287B"/>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0C287B"/>
    <w:rPr>
      <w:rFonts w:asciiTheme="majorHAnsi" w:eastAsiaTheme="majorEastAsia" w:hAnsiTheme="majorHAnsi" w:cstheme="majorBidi"/>
      <w:sz w:val="18"/>
      <w:szCs w:val="18"/>
    </w:rPr>
  </w:style>
  <w:style w:type="paragraph" w:styleId="a5">
    <w:name w:val="header"/>
    <w:basedOn w:val="a"/>
    <w:link w:val="a6"/>
    <w:uiPriority w:val="99"/>
    <w:unhideWhenUsed/>
    <w:rsid w:val="00F9502A"/>
    <w:pPr>
      <w:tabs>
        <w:tab w:val="center" w:pos="4252"/>
        <w:tab w:val="right" w:pos="8504"/>
      </w:tabs>
      <w:snapToGrid w:val="0"/>
    </w:pPr>
  </w:style>
  <w:style w:type="character" w:customStyle="1" w:styleId="a6">
    <w:name w:val="ヘッダー (文字)"/>
    <w:basedOn w:val="a0"/>
    <w:link w:val="a5"/>
    <w:uiPriority w:val="99"/>
    <w:rsid w:val="00F9502A"/>
  </w:style>
  <w:style w:type="paragraph" w:styleId="a7">
    <w:name w:val="footer"/>
    <w:basedOn w:val="a"/>
    <w:link w:val="a8"/>
    <w:uiPriority w:val="99"/>
    <w:unhideWhenUsed/>
    <w:rsid w:val="00F9502A"/>
    <w:pPr>
      <w:tabs>
        <w:tab w:val="center" w:pos="4252"/>
        <w:tab w:val="right" w:pos="8504"/>
      </w:tabs>
      <w:snapToGrid w:val="0"/>
    </w:pPr>
  </w:style>
  <w:style w:type="character" w:customStyle="1" w:styleId="a8">
    <w:name w:val="フッター (文字)"/>
    <w:basedOn w:val="a0"/>
    <w:link w:val="a7"/>
    <w:uiPriority w:val="99"/>
    <w:rsid w:val="00F9502A"/>
  </w:style>
  <w:style w:type="table" w:styleId="a9">
    <w:name w:val="Table Grid"/>
    <w:basedOn w:val="a1"/>
    <w:uiPriority w:val="39"/>
    <w:rsid w:val="00A92A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C75FA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a">
    <w:name w:val="annotation reference"/>
    <w:basedOn w:val="a0"/>
    <w:uiPriority w:val="99"/>
    <w:semiHidden/>
    <w:unhideWhenUsed/>
    <w:rsid w:val="0023628B"/>
    <w:rPr>
      <w:sz w:val="18"/>
      <w:szCs w:val="18"/>
    </w:rPr>
  </w:style>
  <w:style w:type="paragraph" w:styleId="ab">
    <w:name w:val="annotation text"/>
    <w:basedOn w:val="a"/>
    <w:link w:val="ac"/>
    <w:uiPriority w:val="99"/>
    <w:unhideWhenUsed/>
    <w:rsid w:val="0023628B"/>
    <w:pPr>
      <w:jc w:val="left"/>
    </w:pPr>
  </w:style>
  <w:style w:type="character" w:customStyle="1" w:styleId="ac">
    <w:name w:val="コメント文字列 (文字)"/>
    <w:basedOn w:val="a0"/>
    <w:link w:val="ab"/>
    <w:uiPriority w:val="99"/>
    <w:rsid w:val="0023628B"/>
  </w:style>
  <w:style w:type="paragraph" w:styleId="ad">
    <w:name w:val="annotation subject"/>
    <w:basedOn w:val="ab"/>
    <w:next w:val="ab"/>
    <w:link w:val="ae"/>
    <w:uiPriority w:val="99"/>
    <w:semiHidden/>
    <w:unhideWhenUsed/>
    <w:rsid w:val="0023628B"/>
    <w:rPr>
      <w:b/>
      <w:bCs/>
    </w:rPr>
  </w:style>
  <w:style w:type="character" w:customStyle="1" w:styleId="ae">
    <w:name w:val="コメント内容 (文字)"/>
    <w:basedOn w:val="ac"/>
    <w:link w:val="ad"/>
    <w:uiPriority w:val="99"/>
    <w:semiHidden/>
    <w:rsid w:val="0023628B"/>
    <w:rPr>
      <w:b/>
      <w:bCs/>
    </w:rPr>
  </w:style>
  <w:style w:type="paragraph" w:styleId="af">
    <w:name w:val="Revision"/>
    <w:hidden/>
    <w:uiPriority w:val="99"/>
    <w:semiHidden/>
    <w:rsid w:val="00BD0D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5627046">
      <w:bodyDiv w:val="1"/>
      <w:marLeft w:val="0"/>
      <w:marRight w:val="0"/>
      <w:marTop w:val="0"/>
      <w:marBottom w:val="0"/>
      <w:divBdr>
        <w:top w:val="none" w:sz="0" w:space="0" w:color="auto"/>
        <w:left w:val="none" w:sz="0" w:space="0" w:color="auto"/>
        <w:bottom w:val="none" w:sz="0" w:space="0" w:color="auto"/>
        <w:right w:val="none" w:sz="0" w:space="0" w:color="auto"/>
      </w:divBdr>
    </w:div>
    <w:div w:id="673262469">
      <w:bodyDiv w:val="1"/>
      <w:marLeft w:val="0"/>
      <w:marRight w:val="0"/>
      <w:marTop w:val="0"/>
      <w:marBottom w:val="0"/>
      <w:divBdr>
        <w:top w:val="none" w:sz="0" w:space="0" w:color="auto"/>
        <w:left w:val="none" w:sz="0" w:space="0" w:color="auto"/>
        <w:bottom w:val="none" w:sz="0" w:space="0" w:color="auto"/>
        <w:right w:val="none" w:sz="0" w:space="0" w:color="auto"/>
      </w:divBdr>
    </w:div>
    <w:div w:id="713623107">
      <w:bodyDiv w:val="1"/>
      <w:marLeft w:val="0"/>
      <w:marRight w:val="0"/>
      <w:marTop w:val="0"/>
      <w:marBottom w:val="0"/>
      <w:divBdr>
        <w:top w:val="none" w:sz="0" w:space="0" w:color="auto"/>
        <w:left w:val="none" w:sz="0" w:space="0" w:color="auto"/>
        <w:bottom w:val="none" w:sz="0" w:space="0" w:color="auto"/>
        <w:right w:val="none" w:sz="0" w:space="0" w:color="auto"/>
      </w:divBdr>
    </w:div>
    <w:div w:id="876352853">
      <w:bodyDiv w:val="1"/>
      <w:marLeft w:val="0"/>
      <w:marRight w:val="0"/>
      <w:marTop w:val="0"/>
      <w:marBottom w:val="0"/>
      <w:divBdr>
        <w:top w:val="none" w:sz="0" w:space="0" w:color="auto"/>
        <w:left w:val="none" w:sz="0" w:space="0" w:color="auto"/>
        <w:bottom w:val="none" w:sz="0" w:space="0" w:color="auto"/>
        <w:right w:val="none" w:sz="0" w:space="0" w:color="auto"/>
      </w:divBdr>
    </w:div>
    <w:div w:id="1040470463">
      <w:bodyDiv w:val="1"/>
      <w:marLeft w:val="0"/>
      <w:marRight w:val="0"/>
      <w:marTop w:val="0"/>
      <w:marBottom w:val="0"/>
      <w:divBdr>
        <w:top w:val="none" w:sz="0" w:space="0" w:color="auto"/>
        <w:left w:val="none" w:sz="0" w:space="0" w:color="auto"/>
        <w:bottom w:val="none" w:sz="0" w:space="0" w:color="auto"/>
        <w:right w:val="none" w:sz="0" w:space="0" w:color="auto"/>
      </w:divBdr>
    </w:div>
    <w:div w:id="2018579354">
      <w:bodyDiv w:val="1"/>
      <w:marLeft w:val="0"/>
      <w:marRight w:val="0"/>
      <w:marTop w:val="0"/>
      <w:marBottom w:val="0"/>
      <w:divBdr>
        <w:top w:val="none" w:sz="0" w:space="0" w:color="auto"/>
        <w:left w:val="none" w:sz="0" w:space="0" w:color="auto"/>
        <w:bottom w:val="none" w:sz="0" w:space="0" w:color="auto"/>
        <w:right w:val="none" w:sz="0" w:space="0" w:color="auto"/>
      </w:divBdr>
    </w:div>
    <w:div w:id="2083478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image" Target="media/image4.tmp"/><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0.em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emf"/><Relationship Id="rId19" Type="http://schemas.microsoft.com/office/2018/08/relationships/commentsExtensible" Target="commentsExtensible.xml"/><Relationship Id="rId4" Type="http://schemas.openxmlformats.org/officeDocument/2006/relationships/webSettings" Target="webSettings.xml"/><Relationship Id="rId9" Type="http://schemas.openxmlformats.org/officeDocument/2006/relationships/image" Target="media/image20.emf"/><Relationship Id="rId14" Type="http://schemas.openxmlformats.org/officeDocument/2006/relationships/image" Target="media/image6.tmp"/></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4AE270-6802-4AAF-BFB0-6AF72DF20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4</Pages>
  <Words>307</Words>
  <Characters>1751</Characters>
  <Application>Microsoft Office Word</Application>
  <DocSecurity>0</DocSecurity>
  <Lines>14</Lines>
  <Paragraphs>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審１（林）</cp:lastModifiedBy>
  <cp:revision>38</cp:revision>
  <cp:lastPrinted>2023-01-20T04:06:00Z</cp:lastPrinted>
  <dcterms:created xsi:type="dcterms:W3CDTF">2023-03-17T06:50:00Z</dcterms:created>
  <dcterms:modified xsi:type="dcterms:W3CDTF">2023-04-24T00:31:00Z</dcterms:modified>
</cp:coreProperties>
</file>